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rPr>
          <w:sz w:val="32"/>
          <w:szCs w:val="32"/>
        </w:rPr>
      </w:pPr>
      <w:r w:rsidDel="00000000" w:rsidR="00000000" w:rsidRPr="00000000">
        <w:rPr>
          <w:sz w:val="32"/>
          <w:szCs w:val="32"/>
          <w:rtl w:val="0"/>
        </w:rPr>
        <w:t xml:space="preserve">Review of outcomes </w:t>
      </w:r>
    </w:p>
    <w:p w:rsidR="00000000" w:rsidDel="00000000" w:rsidP="00000000" w:rsidRDefault="00000000" w:rsidRPr="00000000" w14:paraId="00000002">
      <w:pPr>
        <w:rPr/>
      </w:pPr>
      <w:r w:rsidDel="00000000" w:rsidR="00000000" w:rsidRPr="00000000">
        <w:rPr>
          <w:rtl w:val="0"/>
        </w:rPr>
        <w:t xml:space="preserve">This details the impact that our pupil premium activity had on pupils in the 2025 to 2026 academic year. </w:t>
      </w:r>
    </w:p>
    <w:tbl>
      <w:tblPr>
        <w:tblStyle w:val="Table1"/>
        <w:tblW w:w="9493.0" w:type="dxa"/>
        <w:jc w:val="left"/>
        <w:tblLayout w:type="fixed"/>
        <w:tblLook w:val="0400"/>
      </w:tblPr>
      <w:tblGrid>
        <w:gridCol w:w="9493"/>
        <w:tblGridChange w:id="0">
          <w:tblGrid>
            <w:gridCol w:w="9493"/>
          </w:tblGrid>
        </w:tblGridChange>
      </w:tblGrid>
      <w:tr>
        <w:trPr>
          <w:cantSplit w:val="0"/>
          <w:trHeight w:val="1102"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03">
            <w:pPr>
              <w:spacing w:after="0" w:line="240" w:lineRule="auto"/>
              <w:rPr>
                <w:color w:val="000000"/>
              </w:rPr>
            </w:pPr>
            <w:r w:rsidDel="00000000" w:rsidR="00000000" w:rsidRPr="00000000">
              <w:rPr>
                <w:b w:val="1"/>
                <w:bCs w:val="1"/>
                <w:rtl w:val="0"/>
              </w:rPr>
              <w:t xml:space="preserve">Children to achieve national expectations in progress and attainment - </w:t>
            </w:r>
            <w:r w:rsidDel="00000000" w:rsidR="00000000" w:rsidRPr="00000000">
              <w:rPr>
                <w:color w:val="000000"/>
                <w:rtl w:val="0"/>
              </w:rPr>
              <w:t xml:space="preserve">Outcomes for pupils in Y6 in 2025 were broadly in line with national averages with 60% of all pupils attaining RWM and 5% GDS. This is prior to marking disputes and finalised results.</w:t>
            </w:r>
          </w:p>
          <w:p w:rsidR="00000000" w:rsidDel="00000000" w:rsidP="00000000" w:rsidRDefault="00000000" w:rsidRPr="00000000" w14:paraId="00000004">
            <w:pPr>
              <w:spacing w:after="0" w:line="240" w:lineRule="auto"/>
              <w:rPr>
                <w:color w:val="000000"/>
              </w:rPr>
            </w:pPr>
            <w:r w:rsidDel="00000000" w:rsidR="00000000" w:rsidRPr="00000000">
              <w:rPr>
                <w:rtl w:val="0"/>
              </w:rPr>
            </w:r>
          </w:p>
          <w:tbl>
            <w:tblPr>
              <w:tblStyle w:val="Table2"/>
              <w:tblW w:w="9264.999999999998" w:type="dxa"/>
              <w:jc w:val="left"/>
              <w:tblLayout w:type="fixed"/>
              <w:tblLook w:val="0400"/>
            </w:tblPr>
            <w:tblGrid>
              <w:gridCol w:w="2244"/>
              <w:gridCol w:w="1740"/>
              <w:gridCol w:w="1722"/>
              <w:gridCol w:w="1844"/>
              <w:gridCol w:w="1715"/>
              <w:tblGridChange w:id="0">
                <w:tblGrid>
                  <w:gridCol w:w="2244"/>
                  <w:gridCol w:w="1740"/>
                  <w:gridCol w:w="1722"/>
                  <w:gridCol w:w="1844"/>
                  <w:gridCol w:w="1715"/>
                </w:tblGrid>
              </w:tblGridChange>
            </w:tblGrid>
            <w:tr>
              <w:trPr>
                <w:cantSplit w:val="0"/>
                <w:trHeight w:val="236" w:hRule="atLeast"/>
                <w:tblHeader w:val="0"/>
              </w:trPr>
              <w:tc>
                <w:tcPr>
                  <w:tcBorders>
                    <w:top w:color="000000" w:space="0" w:sz="4" w:val="single"/>
                    <w:left w:color="000000" w:space="0" w:sz="4" w:val="single"/>
                    <w:bottom w:color="000000" w:space="0" w:sz="4" w:val="single"/>
                    <w:right w:color="000000" w:space="0" w:sz="4" w:val="single"/>
                  </w:tcBorders>
                  <w:shd w:fill="e7e6e6" w:val="clear"/>
                  <w:tcMar>
                    <w:top w:w="100.0" w:type="dxa"/>
                    <w:left w:w="103.0" w:type="dxa"/>
                    <w:bottom w:w="100.0" w:type="dxa"/>
                    <w:right w:w="100.0" w:type="dxa"/>
                  </w:tcMar>
                </w:tcPr>
                <w:p w:rsidR="00000000" w:rsidDel="00000000" w:rsidP="00000000" w:rsidRDefault="00000000" w:rsidRPr="00000000" w14:paraId="00000005">
                  <w:pPr>
                    <w:spacing w:after="0" w:line="240" w:lineRule="auto"/>
                    <w:rPr>
                      <w:color w:val="000000"/>
                    </w:rPr>
                  </w:pPr>
                  <w:r w:rsidDel="00000000" w:rsidR="00000000" w:rsidRPr="00000000">
                    <w:rPr>
                      <w:color w:val="000000"/>
                      <w:rtl w:val="0"/>
                    </w:rPr>
                    <w:t xml:space="preserve">July 2026</w:t>
                  </w:r>
                </w:p>
              </w:tc>
              <w:tc>
                <w:tcPr>
                  <w:tcBorders>
                    <w:top w:color="000000" w:space="0" w:sz="4" w:val="single"/>
                    <w:left w:color="000000" w:space="0" w:sz="4" w:val="single"/>
                    <w:bottom w:color="000000" w:space="0" w:sz="4" w:val="single"/>
                    <w:right w:color="000000" w:space="0" w:sz="4" w:val="single"/>
                  </w:tcBorders>
                  <w:shd w:fill="e7e6e6" w:val="clear"/>
                  <w:tcMar>
                    <w:top w:w="100.0" w:type="dxa"/>
                    <w:left w:w="103.0" w:type="dxa"/>
                    <w:bottom w:w="100.0" w:type="dxa"/>
                    <w:right w:w="100.0" w:type="dxa"/>
                  </w:tcMar>
                </w:tcPr>
                <w:p w:rsidR="00000000" w:rsidDel="00000000" w:rsidP="00000000" w:rsidRDefault="00000000" w:rsidRPr="00000000" w14:paraId="00000006">
                  <w:pPr>
                    <w:spacing w:after="0" w:line="240" w:lineRule="auto"/>
                    <w:rPr>
                      <w:color w:val="000000"/>
                    </w:rPr>
                  </w:pPr>
                  <w:r w:rsidDel="00000000" w:rsidR="00000000" w:rsidRPr="00000000">
                    <w:rPr>
                      <w:color w:val="000000"/>
                      <w:rtl w:val="0"/>
                    </w:rPr>
                    <w:t xml:space="preserve">Reading (NA)</w:t>
                  </w:r>
                </w:p>
              </w:tc>
              <w:tc>
                <w:tcPr>
                  <w:tcBorders>
                    <w:top w:color="000000" w:space="0" w:sz="4" w:val="single"/>
                    <w:left w:color="000000" w:space="0" w:sz="4" w:val="single"/>
                    <w:bottom w:color="000000" w:space="0" w:sz="4" w:val="single"/>
                    <w:right w:color="000000" w:space="0" w:sz="4" w:val="single"/>
                  </w:tcBorders>
                  <w:shd w:fill="e7e6e6" w:val="clear"/>
                  <w:tcMar>
                    <w:top w:w="100.0" w:type="dxa"/>
                    <w:left w:w="103.0" w:type="dxa"/>
                    <w:bottom w:w="100.0" w:type="dxa"/>
                    <w:right w:w="100.0" w:type="dxa"/>
                  </w:tcMar>
                </w:tcPr>
                <w:p w:rsidR="00000000" w:rsidDel="00000000" w:rsidP="00000000" w:rsidRDefault="00000000" w:rsidRPr="00000000" w14:paraId="00000007">
                  <w:pPr>
                    <w:spacing w:after="0" w:line="240" w:lineRule="auto"/>
                    <w:rPr>
                      <w:color w:val="000000"/>
                    </w:rPr>
                  </w:pPr>
                  <w:r w:rsidDel="00000000" w:rsidR="00000000" w:rsidRPr="00000000">
                    <w:rPr>
                      <w:color w:val="000000"/>
                      <w:rtl w:val="0"/>
                    </w:rPr>
                    <w:t xml:space="preserve">Writing (NA)</w:t>
                  </w:r>
                </w:p>
              </w:tc>
              <w:tc>
                <w:tcPr>
                  <w:tcBorders>
                    <w:top w:color="000000" w:space="0" w:sz="4" w:val="single"/>
                    <w:left w:color="000000" w:space="0" w:sz="4" w:val="single"/>
                    <w:bottom w:color="000000" w:space="0" w:sz="4" w:val="single"/>
                    <w:right w:color="000000" w:space="0" w:sz="4" w:val="single"/>
                  </w:tcBorders>
                  <w:shd w:fill="e7e6e6" w:val="clear"/>
                  <w:tcMar>
                    <w:top w:w="100.0" w:type="dxa"/>
                    <w:left w:w="103.0" w:type="dxa"/>
                    <w:bottom w:w="100.0" w:type="dxa"/>
                    <w:right w:w="100.0" w:type="dxa"/>
                  </w:tcMar>
                </w:tcPr>
                <w:p w:rsidR="00000000" w:rsidDel="00000000" w:rsidP="00000000" w:rsidRDefault="00000000" w:rsidRPr="00000000" w14:paraId="00000008">
                  <w:pPr>
                    <w:spacing w:after="0" w:line="240" w:lineRule="auto"/>
                    <w:rPr>
                      <w:color w:val="000000"/>
                    </w:rPr>
                  </w:pPr>
                  <w:r w:rsidDel="00000000" w:rsidR="00000000" w:rsidRPr="00000000">
                    <w:rPr>
                      <w:color w:val="000000"/>
                      <w:rtl w:val="0"/>
                    </w:rPr>
                    <w:t xml:space="preserve">Maths (NA)</w:t>
                  </w:r>
                </w:p>
              </w:tc>
              <w:tc>
                <w:tcPr>
                  <w:tcBorders>
                    <w:top w:color="000000" w:space="0" w:sz="4" w:val="single"/>
                    <w:left w:color="000000" w:space="0" w:sz="4" w:val="single"/>
                    <w:bottom w:color="000000" w:space="0" w:sz="4" w:val="single"/>
                    <w:right w:color="000000" w:space="0" w:sz="4" w:val="single"/>
                  </w:tcBorders>
                  <w:shd w:fill="e7e6e6" w:val="clear"/>
                  <w:tcMar>
                    <w:top w:w="100.0" w:type="dxa"/>
                    <w:left w:w="103.0" w:type="dxa"/>
                    <w:bottom w:w="100.0" w:type="dxa"/>
                    <w:right w:w="100.0" w:type="dxa"/>
                  </w:tcMar>
                </w:tcPr>
                <w:p w:rsidR="00000000" w:rsidDel="00000000" w:rsidP="00000000" w:rsidRDefault="00000000" w:rsidRPr="00000000" w14:paraId="00000009">
                  <w:pPr>
                    <w:spacing w:after="0" w:line="240" w:lineRule="auto"/>
                    <w:rPr>
                      <w:color w:val="000000"/>
                    </w:rPr>
                  </w:pPr>
                  <w:r w:rsidDel="00000000" w:rsidR="00000000" w:rsidRPr="00000000">
                    <w:rPr>
                      <w:color w:val="000000"/>
                      <w:rtl w:val="0"/>
                    </w:rPr>
                    <w:t xml:space="preserve">RWM (NA)</w:t>
                  </w:r>
                </w:p>
              </w:tc>
            </w:tr>
            <w:tr>
              <w:trPr>
                <w:cantSplit w:val="0"/>
                <w:trHeight w:val="236"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3.0" w:type="dxa"/>
                    <w:bottom w:w="100.0" w:type="dxa"/>
                    <w:right w:w="100.0" w:type="dxa"/>
                  </w:tcMar>
                </w:tcPr>
                <w:p w:rsidR="00000000" w:rsidDel="00000000" w:rsidP="00000000" w:rsidRDefault="00000000" w:rsidRPr="00000000" w14:paraId="0000000A">
                  <w:pPr>
                    <w:spacing w:after="0" w:line="240" w:lineRule="auto"/>
                    <w:rPr>
                      <w:color w:val="000000"/>
                    </w:rPr>
                  </w:pPr>
                  <w:r w:rsidDel="00000000" w:rsidR="00000000" w:rsidRPr="00000000">
                    <w:rPr>
                      <w:color w:val="000000"/>
                      <w:rtl w:val="0"/>
                    </w:rPr>
                    <w:t xml:space="preserve">EXS all pupils</w:t>
                  </w:r>
                </w:p>
              </w:tc>
              <w:tc>
                <w:tcPr>
                  <w:tcBorders>
                    <w:top w:color="000000" w:space="0" w:sz="4" w:val="single"/>
                    <w:left w:color="000000" w:space="0" w:sz="4" w:val="single"/>
                    <w:bottom w:color="000000" w:space="0" w:sz="4" w:val="single"/>
                    <w:right w:color="000000" w:space="0" w:sz="4" w:val="single"/>
                  </w:tcBorders>
                  <w:tcMar>
                    <w:top w:w="100.0" w:type="dxa"/>
                    <w:left w:w="103.0" w:type="dxa"/>
                    <w:bottom w:w="100.0" w:type="dxa"/>
                    <w:right w:w="100.0" w:type="dxa"/>
                  </w:tcMar>
                </w:tcPr>
                <w:p w:rsidR="00000000" w:rsidDel="00000000" w:rsidP="00000000" w:rsidRDefault="00000000" w:rsidRPr="00000000" w14:paraId="0000000B">
                  <w:pPr>
                    <w:spacing w:after="0" w:line="240" w:lineRule="auto"/>
                    <w:rPr>
                      <w:color w:val="000000"/>
                    </w:rPr>
                  </w:pPr>
                  <w:r w:rsidDel="00000000" w:rsidR="00000000" w:rsidRPr="00000000">
                    <w:rPr>
                      <w:color w:val="000000"/>
                      <w:rtl w:val="0"/>
                    </w:rPr>
                    <w:t xml:space="preserve">65 </w:t>
                  </w:r>
                </w:p>
              </w:tc>
              <w:tc>
                <w:tcPr>
                  <w:tcBorders>
                    <w:top w:color="000000" w:space="0" w:sz="4" w:val="single"/>
                    <w:left w:color="000000" w:space="0" w:sz="4" w:val="single"/>
                    <w:bottom w:color="000000" w:space="0" w:sz="4" w:val="single"/>
                    <w:right w:color="000000" w:space="0" w:sz="4" w:val="single"/>
                  </w:tcBorders>
                  <w:tcMar>
                    <w:top w:w="100.0" w:type="dxa"/>
                    <w:left w:w="103.0" w:type="dxa"/>
                    <w:bottom w:w="100.0" w:type="dxa"/>
                    <w:right w:w="100.0" w:type="dxa"/>
                  </w:tcMar>
                </w:tcPr>
                <w:p w:rsidR="00000000" w:rsidDel="00000000" w:rsidP="00000000" w:rsidRDefault="00000000" w:rsidRPr="00000000" w14:paraId="0000000C">
                  <w:pPr>
                    <w:spacing w:after="0" w:line="240" w:lineRule="auto"/>
                    <w:rPr>
                      <w:color w:val="000000"/>
                    </w:rPr>
                  </w:pPr>
                  <w:r w:rsidDel="00000000" w:rsidR="00000000" w:rsidRPr="00000000">
                    <w:rPr>
                      <w:color w:val="000000"/>
                      <w:rtl w:val="0"/>
                    </w:rPr>
                    <w:t xml:space="preserve">70</w:t>
                  </w:r>
                </w:p>
              </w:tc>
              <w:tc>
                <w:tcPr>
                  <w:tcBorders>
                    <w:top w:color="000000" w:space="0" w:sz="4" w:val="single"/>
                    <w:left w:color="000000" w:space="0" w:sz="4" w:val="single"/>
                    <w:bottom w:color="000000" w:space="0" w:sz="4" w:val="single"/>
                    <w:right w:color="000000" w:space="0" w:sz="4" w:val="single"/>
                  </w:tcBorders>
                  <w:tcMar>
                    <w:top w:w="100.0" w:type="dxa"/>
                    <w:left w:w="103.0" w:type="dxa"/>
                    <w:bottom w:w="100.0" w:type="dxa"/>
                    <w:right w:w="100.0" w:type="dxa"/>
                  </w:tcMar>
                </w:tcPr>
                <w:p w:rsidR="00000000" w:rsidDel="00000000" w:rsidP="00000000" w:rsidRDefault="00000000" w:rsidRPr="00000000" w14:paraId="0000000D">
                  <w:pPr>
                    <w:spacing w:after="0" w:line="240" w:lineRule="auto"/>
                    <w:rPr>
                      <w:color w:val="000000"/>
                    </w:rPr>
                  </w:pPr>
                  <w:r w:rsidDel="00000000" w:rsidR="00000000" w:rsidRPr="00000000">
                    <w:rPr>
                      <w:color w:val="000000"/>
                      <w:rtl w:val="0"/>
                    </w:rPr>
                    <w:t xml:space="preserve">70</w:t>
                  </w:r>
                </w:p>
              </w:tc>
              <w:tc>
                <w:tcPr>
                  <w:tcBorders>
                    <w:top w:color="000000" w:space="0" w:sz="4" w:val="single"/>
                    <w:left w:color="000000" w:space="0" w:sz="4" w:val="single"/>
                    <w:bottom w:color="000000" w:space="0" w:sz="4" w:val="single"/>
                    <w:right w:color="000000" w:space="0" w:sz="4" w:val="single"/>
                  </w:tcBorders>
                  <w:tcMar>
                    <w:top w:w="100.0" w:type="dxa"/>
                    <w:left w:w="103.0" w:type="dxa"/>
                    <w:bottom w:w="100.0" w:type="dxa"/>
                    <w:right w:w="100.0" w:type="dxa"/>
                  </w:tcMar>
                </w:tcPr>
                <w:p w:rsidR="00000000" w:rsidDel="00000000" w:rsidP="00000000" w:rsidRDefault="00000000" w:rsidRPr="00000000" w14:paraId="0000000E">
                  <w:pPr>
                    <w:spacing w:after="0" w:line="240" w:lineRule="auto"/>
                    <w:rPr>
                      <w:color w:val="000000"/>
                    </w:rPr>
                  </w:pPr>
                  <w:r w:rsidDel="00000000" w:rsidR="00000000" w:rsidRPr="00000000">
                    <w:rPr>
                      <w:color w:val="000000"/>
                      <w:rtl w:val="0"/>
                    </w:rPr>
                    <w:t xml:space="preserve">60</w:t>
                  </w:r>
                </w:p>
              </w:tc>
            </w:tr>
            <w:tr>
              <w:trPr>
                <w:cantSplit w:val="0"/>
                <w:trHeight w:val="236"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3.0" w:type="dxa"/>
                    <w:bottom w:w="100.0" w:type="dxa"/>
                    <w:right w:w="100.0" w:type="dxa"/>
                  </w:tcMar>
                </w:tcPr>
                <w:p w:rsidR="00000000" w:rsidDel="00000000" w:rsidP="00000000" w:rsidRDefault="00000000" w:rsidRPr="00000000" w14:paraId="0000000F">
                  <w:pPr>
                    <w:spacing w:after="0" w:line="240" w:lineRule="auto"/>
                    <w:rPr>
                      <w:color w:val="000000"/>
                    </w:rPr>
                  </w:pPr>
                  <w:r w:rsidDel="00000000" w:rsidR="00000000" w:rsidRPr="00000000">
                    <w:rPr>
                      <w:color w:val="000000"/>
                      <w:rtl w:val="0"/>
                    </w:rPr>
                    <w:t xml:space="preserve">EXS (PP)</w:t>
                  </w:r>
                </w:p>
              </w:tc>
              <w:tc>
                <w:tcPr>
                  <w:tcBorders>
                    <w:top w:color="000000" w:space="0" w:sz="4" w:val="single"/>
                    <w:left w:color="000000" w:space="0" w:sz="4" w:val="single"/>
                    <w:bottom w:color="000000" w:space="0" w:sz="4" w:val="single"/>
                    <w:right w:color="000000" w:space="0" w:sz="4" w:val="single"/>
                  </w:tcBorders>
                  <w:tcMar>
                    <w:top w:w="100.0" w:type="dxa"/>
                    <w:left w:w="103.0" w:type="dxa"/>
                    <w:bottom w:w="100.0" w:type="dxa"/>
                    <w:right w:w="100.0" w:type="dxa"/>
                  </w:tcMar>
                </w:tcPr>
                <w:p w:rsidR="00000000" w:rsidDel="00000000" w:rsidP="00000000" w:rsidRDefault="00000000" w:rsidRPr="00000000" w14:paraId="00000010">
                  <w:pPr>
                    <w:spacing w:after="0" w:line="240" w:lineRule="auto"/>
                    <w:rPr>
                      <w:color w:val="000000"/>
                    </w:rPr>
                  </w:pPr>
                  <w:r w:rsidDel="00000000" w:rsidR="00000000" w:rsidRPr="00000000">
                    <w:rPr>
                      <w:color w:val="000000"/>
                      <w:rtl w:val="0"/>
                    </w:rPr>
                    <w:t xml:space="preserve">50</w:t>
                  </w:r>
                </w:p>
              </w:tc>
              <w:tc>
                <w:tcPr>
                  <w:tcBorders>
                    <w:top w:color="000000" w:space="0" w:sz="4" w:val="single"/>
                    <w:left w:color="000000" w:space="0" w:sz="4" w:val="single"/>
                    <w:bottom w:color="000000" w:space="0" w:sz="4" w:val="single"/>
                    <w:right w:color="000000" w:space="0" w:sz="4" w:val="single"/>
                  </w:tcBorders>
                  <w:tcMar>
                    <w:top w:w="100.0" w:type="dxa"/>
                    <w:left w:w="103.0" w:type="dxa"/>
                    <w:bottom w:w="100.0" w:type="dxa"/>
                    <w:right w:w="100.0" w:type="dxa"/>
                  </w:tcMar>
                </w:tcPr>
                <w:p w:rsidR="00000000" w:rsidDel="00000000" w:rsidP="00000000" w:rsidRDefault="00000000" w:rsidRPr="00000000" w14:paraId="00000011">
                  <w:pPr>
                    <w:spacing w:after="0" w:line="240" w:lineRule="auto"/>
                    <w:rPr>
                      <w:color w:val="000000"/>
                    </w:rPr>
                  </w:pPr>
                  <w:r w:rsidDel="00000000" w:rsidR="00000000" w:rsidRPr="00000000">
                    <w:rPr>
                      <w:color w:val="000000"/>
                      <w:rtl w:val="0"/>
                    </w:rPr>
                    <w:t xml:space="preserve">38</w:t>
                  </w:r>
                </w:p>
              </w:tc>
              <w:tc>
                <w:tcPr>
                  <w:tcBorders>
                    <w:top w:color="000000" w:space="0" w:sz="4" w:val="single"/>
                    <w:left w:color="000000" w:space="0" w:sz="4" w:val="single"/>
                    <w:bottom w:color="000000" w:space="0" w:sz="4" w:val="single"/>
                    <w:right w:color="000000" w:space="0" w:sz="4" w:val="single"/>
                  </w:tcBorders>
                  <w:tcMar>
                    <w:top w:w="100.0" w:type="dxa"/>
                    <w:left w:w="103.0" w:type="dxa"/>
                    <w:bottom w:w="100.0" w:type="dxa"/>
                    <w:right w:w="100.0" w:type="dxa"/>
                  </w:tcMar>
                </w:tcPr>
                <w:p w:rsidR="00000000" w:rsidDel="00000000" w:rsidP="00000000" w:rsidRDefault="00000000" w:rsidRPr="00000000" w14:paraId="00000012">
                  <w:pPr>
                    <w:spacing w:after="0" w:line="240" w:lineRule="auto"/>
                    <w:rPr>
                      <w:color w:val="000000"/>
                    </w:rPr>
                  </w:pPr>
                  <w:r w:rsidDel="00000000" w:rsidR="00000000" w:rsidRPr="00000000">
                    <w:rPr>
                      <w:color w:val="000000"/>
                      <w:rtl w:val="0"/>
                    </w:rPr>
                    <w:t xml:space="preserve">38</w:t>
                  </w:r>
                </w:p>
              </w:tc>
              <w:tc>
                <w:tcPr>
                  <w:tcBorders>
                    <w:top w:color="000000" w:space="0" w:sz="4" w:val="single"/>
                    <w:left w:color="000000" w:space="0" w:sz="4" w:val="single"/>
                    <w:bottom w:color="000000" w:space="0" w:sz="4" w:val="single"/>
                    <w:right w:color="000000" w:space="0" w:sz="4" w:val="single"/>
                  </w:tcBorders>
                  <w:tcMar>
                    <w:top w:w="100.0" w:type="dxa"/>
                    <w:left w:w="103.0" w:type="dxa"/>
                    <w:bottom w:w="100.0" w:type="dxa"/>
                    <w:right w:w="100.0" w:type="dxa"/>
                  </w:tcMar>
                </w:tcPr>
                <w:p w:rsidR="00000000" w:rsidDel="00000000" w:rsidP="00000000" w:rsidRDefault="00000000" w:rsidRPr="00000000" w14:paraId="00000013">
                  <w:pPr>
                    <w:spacing w:after="0" w:line="240" w:lineRule="auto"/>
                    <w:rPr>
                      <w:color w:val="000000"/>
                    </w:rPr>
                  </w:pPr>
                  <w:r w:rsidDel="00000000" w:rsidR="00000000" w:rsidRPr="00000000">
                    <w:rPr>
                      <w:color w:val="000000"/>
                      <w:rtl w:val="0"/>
                    </w:rPr>
                    <w:t xml:space="preserve">38</w:t>
                  </w:r>
                </w:p>
              </w:tc>
            </w:tr>
            <w:tr>
              <w:trPr>
                <w:cantSplit w:val="0"/>
                <w:trHeight w:val="236"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3.0" w:type="dxa"/>
                    <w:bottom w:w="100.0" w:type="dxa"/>
                    <w:right w:w="100.0" w:type="dxa"/>
                  </w:tcMar>
                </w:tcPr>
                <w:p w:rsidR="00000000" w:rsidDel="00000000" w:rsidP="00000000" w:rsidRDefault="00000000" w:rsidRPr="00000000" w14:paraId="00000014">
                  <w:pPr>
                    <w:spacing w:after="0" w:line="240" w:lineRule="auto"/>
                    <w:rPr>
                      <w:color w:val="000000"/>
                    </w:rPr>
                  </w:pPr>
                  <w:r w:rsidDel="00000000" w:rsidR="00000000" w:rsidRPr="00000000">
                    <w:rPr>
                      <w:color w:val="000000"/>
                      <w:rtl w:val="0"/>
                    </w:rPr>
                    <w:t xml:space="preserve">GDS all pupils</w:t>
                  </w:r>
                </w:p>
              </w:tc>
              <w:tc>
                <w:tcPr>
                  <w:tcBorders>
                    <w:top w:color="000000" w:space="0" w:sz="4" w:val="single"/>
                    <w:left w:color="000000" w:space="0" w:sz="4" w:val="single"/>
                    <w:bottom w:color="000000" w:space="0" w:sz="4" w:val="single"/>
                    <w:right w:color="000000" w:space="0" w:sz="4" w:val="single"/>
                  </w:tcBorders>
                  <w:tcMar>
                    <w:top w:w="100.0" w:type="dxa"/>
                    <w:left w:w="103.0" w:type="dxa"/>
                    <w:bottom w:w="100.0" w:type="dxa"/>
                    <w:right w:w="100.0" w:type="dxa"/>
                  </w:tcMar>
                </w:tcPr>
                <w:p w:rsidR="00000000" w:rsidDel="00000000" w:rsidP="00000000" w:rsidRDefault="00000000" w:rsidRPr="00000000" w14:paraId="00000015">
                  <w:pPr>
                    <w:spacing w:after="0" w:line="240" w:lineRule="auto"/>
                    <w:rPr>
                      <w:color w:val="000000"/>
                    </w:rPr>
                  </w:pPr>
                  <w:r w:rsidDel="00000000" w:rsidR="00000000" w:rsidRPr="00000000">
                    <w:rPr>
                      <w:color w:val="000000"/>
                      <w:rtl w:val="0"/>
                    </w:rPr>
                    <w:t xml:space="preserve">20</w:t>
                  </w:r>
                </w:p>
              </w:tc>
              <w:tc>
                <w:tcPr>
                  <w:tcBorders>
                    <w:top w:color="000000" w:space="0" w:sz="4" w:val="single"/>
                    <w:left w:color="000000" w:space="0" w:sz="4" w:val="single"/>
                    <w:bottom w:color="000000" w:space="0" w:sz="4" w:val="single"/>
                    <w:right w:color="000000" w:space="0" w:sz="4" w:val="single"/>
                  </w:tcBorders>
                  <w:tcMar>
                    <w:top w:w="100.0" w:type="dxa"/>
                    <w:left w:w="103.0" w:type="dxa"/>
                    <w:bottom w:w="100.0" w:type="dxa"/>
                    <w:right w:w="100.0" w:type="dxa"/>
                  </w:tcMar>
                </w:tcPr>
                <w:p w:rsidR="00000000" w:rsidDel="00000000" w:rsidP="00000000" w:rsidRDefault="00000000" w:rsidRPr="00000000" w14:paraId="00000016">
                  <w:pPr>
                    <w:spacing w:after="0" w:line="240" w:lineRule="auto"/>
                    <w:rPr>
                      <w:color w:val="000000"/>
                    </w:rPr>
                  </w:pPr>
                  <w:r w:rsidDel="00000000" w:rsidR="00000000" w:rsidRPr="00000000">
                    <w:rPr>
                      <w:color w:val="000000"/>
                      <w:rtl w:val="0"/>
                    </w:rPr>
                    <w:t xml:space="preserve">10</w:t>
                  </w:r>
                </w:p>
              </w:tc>
              <w:tc>
                <w:tcPr>
                  <w:tcBorders>
                    <w:top w:color="000000" w:space="0" w:sz="4" w:val="single"/>
                    <w:left w:color="000000" w:space="0" w:sz="4" w:val="single"/>
                    <w:bottom w:color="000000" w:space="0" w:sz="4" w:val="single"/>
                    <w:right w:color="000000" w:space="0" w:sz="4" w:val="single"/>
                  </w:tcBorders>
                  <w:tcMar>
                    <w:top w:w="100.0" w:type="dxa"/>
                    <w:left w:w="103.0" w:type="dxa"/>
                    <w:bottom w:w="100.0" w:type="dxa"/>
                    <w:right w:w="100.0" w:type="dxa"/>
                  </w:tcMar>
                </w:tcPr>
                <w:p w:rsidR="00000000" w:rsidDel="00000000" w:rsidP="00000000" w:rsidRDefault="00000000" w:rsidRPr="00000000" w14:paraId="00000017">
                  <w:pPr>
                    <w:spacing w:after="0" w:line="240" w:lineRule="auto"/>
                    <w:rPr>
                      <w:color w:val="000000"/>
                    </w:rPr>
                  </w:pPr>
                  <w:r w:rsidDel="00000000" w:rsidR="00000000" w:rsidRPr="00000000">
                    <w:rPr>
                      <w:color w:val="000000"/>
                      <w:rtl w:val="0"/>
                    </w:rPr>
                    <w:t xml:space="preserve">20</w:t>
                  </w:r>
                </w:p>
              </w:tc>
              <w:tc>
                <w:tcPr>
                  <w:tcBorders>
                    <w:top w:color="000000" w:space="0" w:sz="4" w:val="single"/>
                    <w:left w:color="000000" w:space="0" w:sz="4" w:val="single"/>
                    <w:bottom w:color="000000" w:space="0" w:sz="4" w:val="single"/>
                    <w:right w:color="000000" w:space="0" w:sz="4" w:val="single"/>
                  </w:tcBorders>
                  <w:tcMar>
                    <w:top w:w="100.0" w:type="dxa"/>
                    <w:left w:w="103.0" w:type="dxa"/>
                    <w:bottom w:w="100.0" w:type="dxa"/>
                    <w:right w:w="100.0" w:type="dxa"/>
                  </w:tcMar>
                </w:tcPr>
                <w:p w:rsidR="00000000" w:rsidDel="00000000" w:rsidP="00000000" w:rsidRDefault="00000000" w:rsidRPr="00000000" w14:paraId="00000018">
                  <w:pPr>
                    <w:spacing w:after="0" w:line="240" w:lineRule="auto"/>
                    <w:rPr>
                      <w:color w:val="000000"/>
                    </w:rPr>
                  </w:pPr>
                  <w:r w:rsidDel="00000000" w:rsidR="00000000" w:rsidRPr="00000000">
                    <w:rPr>
                      <w:color w:val="000000"/>
                      <w:rtl w:val="0"/>
                    </w:rPr>
                    <w:t xml:space="preserve">5</w:t>
                  </w:r>
                </w:p>
              </w:tc>
            </w:tr>
            <w:tr>
              <w:trPr>
                <w:cantSplit w:val="0"/>
                <w:trHeight w:val="236"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3.0" w:type="dxa"/>
                    <w:bottom w:w="100.0" w:type="dxa"/>
                    <w:right w:w="100.0" w:type="dxa"/>
                  </w:tcMar>
                </w:tcPr>
                <w:p w:rsidR="00000000" w:rsidDel="00000000" w:rsidP="00000000" w:rsidRDefault="00000000" w:rsidRPr="00000000" w14:paraId="00000019">
                  <w:pPr>
                    <w:spacing w:after="0" w:line="240" w:lineRule="auto"/>
                    <w:rPr>
                      <w:color w:val="000000"/>
                    </w:rPr>
                  </w:pPr>
                  <w:r w:rsidDel="00000000" w:rsidR="00000000" w:rsidRPr="00000000">
                    <w:rPr>
                      <w:color w:val="000000"/>
                      <w:rtl w:val="0"/>
                    </w:rPr>
                    <w:t xml:space="preserve">GDS (PP)</w:t>
                  </w:r>
                </w:p>
              </w:tc>
              <w:tc>
                <w:tcPr>
                  <w:tcBorders>
                    <w:top w:color="000000" w:space="0" w:sz="4" w:val="single"/>
                    <w:left w:color="000000" w:space="0" w:sz="4" w:val="single"/>
                    <w:bottom w:color="000000" w:space="0" w:sz="4" w:val="single"/>
                    <w:right w:color="000000" w:space="0" w:sz="4" w:val="single"/>
                  </w:tcBorders>
                  <w:tcMar>
                    <w:top w:w="100.0" w:type="dxa"/>
                    <w:left w:w="103.0" w:type="dxa"/>
                    <w:bottom w:w="100.0" w:type="dxa"/>
                    <w:right w:w="100.0" w:type="dxa"/>
                  </w:tcMar>
                </w:tcPr>
                <w:p w:rsidR="00000000" w:rsidDel="00000000" w:rsidP="00000000" w:rsidRDefault="00000000" w:rsidRPr="00000000" w14:paraId="0000001A">
                  <w:pPr>
                    <w:spacing w:after="0" w:line="240" w:lineRule="auto"/>
                    <w:rPr>
                      <w:color w:val="000000"/>
                    </w:rPr>
                  </w:pPr>
                  <w:r w:rsidDel="00000000" w:rsidR="00000000" w:rsidRPr="00000000">
                    <w:rPr>
                      <w:color w:val="000000"/>
                      <w:rtl w:val="0"/>
                    </w:rPr>
                    <w:t xml:space="preserve">0</w:t>
                  </w:r>
                </w:p>
              </w:tc>
              <w:tc>
                <w:tcPr>
                  <w:tcBorders>
                    <w:top w:color="000000" w:space="0" w:sz="4" w:val="single"/>
                    <w:left w:color="000000" w:space="0" w:sz="4" w:val="single"/>
                    <w:bottom w:color="000000" w:space="0" w:sz="4" w:val="single"/>
                    <w:right w:color="000000" w:space="0" w:sz="4" w:val="single"/>
                  </w:tcBorders>
                  <w:tcMar>
                    <w:top w:w="100.0" w:type="dxa"/>
                    <w:left w:w="103.0" w:type="dxa"/>
                    <w:bottom w:w="100.0" w:type="dxa"/>
                    <w:right w:w="100.0" w:type="dxa"/>
                  </w:tcMar>
                </w:tcPr>
                <w:p w:rsidR="00000000" w:rsidDel="00000000" w:rsidP="00000000" w:rsidRDefault="00000000" w:rsidRPr="00000000" w14:paraId="0000001B">
                  <w:pPr>
                    <w:spacing w:after="0" w:line="240" w:lineRule="auto"/>
                    <w:rPr>
                      <w:color w:val="000000"/>
                    </w:rPr>
                  </w:pPr>
                  <w:r w:rsidDel="00000000" w:rsidR="00000000" w:rsidRPr="00000000">
                    <w:rPr>
                      <w:color w:val="000000"/>
                      <w:rtl w:val="0"/>
                    </w:rPr>
                    <w:t xml:space="preserve">0</w:t>
                  </w:r>
                </w:p>
              </w:tc>
              <w:tc>
                <w:tcPr>
                  <w:tcBorders>
                    <w:top w:color="000000" w:space="0" w:sz="4" w:val="single"/>
                    <w:left w:color="000000" w:space="0" w:sz="4" w:val="single"/>
                    <w:bottom w:color="000000" w:space="0" w:sz="4" w:val="single"/>
                    <w:right w:color="000000" w:space="0" w:sz="4" w:val="single"/>
                  </w:tcBorders>
                  <w:tcMar>
                    <w:top w:w="100.0" w:type="dxa"/>
                    <w:left w:w="103.0" w:type="dxa"/>
                    <w:bottom w:w="100.0" w:type="dxa"/>
                    <w:right w:w="100.0" w:type="dxa"/>
                  </w:tcMar>
                </w:tcPr>
                <w:p w:rsidR="00000000" w:rsidDel="00000000" w:rsidP="00000000" w:rsidRDefault="00000000" w:rsidRPr="00000000" w14:paraId="0000001C">
                  <w:pPr>
                    <w:spacing w:after="0" w:line="240" w:lineRule="auto"/>
                    <w:rPr>
                      <w:color w:val="000000"/>
                    </w:rPr>
                  </w:pPr>
                  <w:r w:rsidDel="00000000" w:rsidR="00000000" w:rsidRPr="00000000">
                    <w:rPr>
                      <w:color w:val="000000"/>
                      <w:rtl w:val="0"/>
                    </w:rPr>
                    <w:t xml:space="preserve">13</w:t>
                  </w:r>
                </w:p>
              </w:tc>
              <w:tc>
                <w:tcPr>
                  <w:tcBorders>
                    <w:top w:color="000000" w:space="0" w:sz="4" w:val="single"/>
                    <w:left w:color="000000" w:space="0" w:sz="4" w:val="single"/>
                    <w:bottom w:color="000000" w:space="0" w:sz="4" w:val="single"/>
                    <w:right w:color="000000" w:space="0" w:sz="4" w:val="single"/>
                  </w:tcBorders>
                  <w:tcMar>
                    <w:top w:w="100.0" w:type="dxa"/>
                    <w:left w:w="103.0" w:type="dxa"/>
                    <w:bottom w:w="100.0" w:type="dxa"/>
                    <w:right w:w="100.0" w:type="dxa"/>
                  </w:tcMar>
                </w:tcPr>
                <w:p w:rsidR="00000000" w:rsidDel="00000000" w:rsidP="00000000" w:rsidRDefault="00000000" w:rsidRPr="00000000" w14:paraId="0000001D">
                  <w:pPr>
                    <w:spacing w:after="0" w:line="240" w:lineRule="auto"/>
                    <w:rPr>
                      <w:color w:val="000000"/>
                    </w:rPr>
                  </w:pPr>
                  <w:r w:rsidDel="00000000" w:rsidR="00000000" w:rsidRPr="00000000">
                    <w:rPr>
                      <w:color w:val="000000"/>
                      <w:rtl w:val="0"/>
                    </w:rPr>
                    <w:t xml:space="preserve">0</w:t>
                  </w:r>
                </w:p>
              </w:tc>
            </w:tr>
          </w:tbl>
          <w:p w:rsidR="00000000" w:rsidDel="00000000" w:rsidP="00000000" w:rsidRDefault="00000000" w:rsidRPr="00000000" w14:paraId="0000001E">
            <w:pPr>
              <w:spacing w:after="0" w:line="240" w:lineRule="auto"/>
              <w:rPr>
                <w:color w:val="000000"/>
              </w:rPr>
            </w:pPr>
            <w:r w:rsidDel="00000000" w:rsidR="00000000" w:rsidRPr="00000000">
              <w:rPr>
                <w:rtl w:val="0"/>
              </w:rPr>
            </w:r>
          </w:p>
          <w:p w:rsidR="00000000" w:rsidDel="00000000" w:rsidP="00000000" w:rsidRDefault="00000000" w:rsidRPr="00000000" w14:paraId="0000001F">
            <w:pPr>
              <w:spacing w:after="0" w:line="240" w:lineRule="auto"/>
              <w:rPr/>
            </w:pPr>
            <w:r w:rsidDel="00000000" w:rsidR="00000000" w:rsidRPr="00000000">
              <w:rPr>
                <w:color w:val="000000"/>
                <w:rtl w:val="0"/>
              </w:rPr>
              <w:t xml:space="preserve">Of this cohort, there are 8 pupils who are pupil premium. Seven of these pupils have SEND, including 4 with an EHCP. Of the PP pupils 4/8 (50%) achieved the expected standard in reading, while 3/8 achieved the expected standard in writing and maths. 1/9 attained the greater depth standard in Maths. </w:t>
            </w:r>
            <w:r w:rsidDel="00000000" w:rsidR="00000000" w:rsidRPr="00000000">
              <w:rPr>
                <w:rtl w:val="0"/>
              </w:rPr>
              <w:t xml:space="preserve">As a school, we continue to work hard to close the gap between our disadvantaged and non-disadvantaged pupils. </w:t>
            </w:r>
          </w:p>
          <w:p w:rsidR="00000000" w:rsidDel="00000000" w:rsidP="00000000" w:rsidRDefault="00000000" w:rsidRPr="00000000" w14:paraId="00000020">
            <w:pPr>
              <w:widowControl w:val="0"/>
              <w:spacing w:after="0" w:line="240" w:lineRule="auto"/>
              <w:ind w:right="57"/>
              <w:rPr>
                <w:color w:val="000000"/>
              </w:rPr>
            </w:pPr>
            <w:bookmarkStart w:colFirst="0" w:colLast="0" w:name="_heading=h.gs07xnhl2mn0" w:id="0"/>
            <w:bookmarkEnd w:id="0"/>
            <w:r w:rsidDel="00000000" w:rsidR="00000000" w:rsidRPr="00000000">
              <w:rPr>
                <w:color w:val="000000"/>
                <w:rtl w:val="0"/>
              </w:rPr>
              <w:t xml:space="preserve">We will further our efforts in-line with our inclusion strategy to ensure that as all teachers are teachers of SEND, we aim to provide universal provision that enhances the academic achievement of all pupils but especially those with a disadvantage as well as providing adaptations and additional support to supplement our teaching offer to ensure those pupils that do need more support, receive this and that it is reflected in our results for the coming year.</w:t>
            </w:r>
          </w:p>
          <w:p w:rsidR="00000000" w:rsidDel="00000000" w:rsidP="00000000" w:rsidRDefault="00000000" w:rsidRPr="00000000" w14:paraId="00000021">
            <w:pPr>
              <w:widowControl w:val="0"/>
              <w:spacing w:after="0" w:line="240" w:lineRule="auto"/>
              <w:ind w:right="57"/>
              <w:rPr/>
            </w:pPr>
            <w:r w:rsidDel="00000000" w:rsidR="00000000" w:rsidRPr="00000000">
              <w:rPr>
                <w:rtl w:val="0"/>
              </w:rPr>
            </w:r>
          </w:p>
          <w:p w:rsidR="00000000" w:rsidDel="00000000" w:rsidP="00000000" w:rsidRDefault="00000000" w:rsidRPr="00000000" w14:paraId="00000022">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57"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Next Steps: </w:t>
            </w: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To further close the gap between disadvantaged and non-disadvantaged pupils in 2</w:t>
            </w:r>
            <w:r w:rsidDel="00000000" w:rsidR="00000000" w:rsidRPr="00000000">
              <w:rPr>
                <w:rtl w:val="0"/>
              </w:rPr>
              <w:t xml:space="preserve">6-27</w:t>
            </w: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 </w:t>
            </w:r>
            <w:r w:rsidDel="00000000" w:rsidR="00000000" w:rsidRPr="00000000">
              <w:rPr>
                <w:rtl w:val="0"/>
              </w:rPr>
              <w:t xml:space="preserve">we will deliver CPD that encompasses our inclusion strategy and monitors the impact of this in class. Teachers will closely monitor the effectiveness of interventions given to pupils and the use of teaching assistants will be enhanced.</w:t>
            </w:r>
            <w:r w:rsidDel="00000000" w:rsidR="00000000" w:rsidRPr="00000000">
              <w:rPr>
                <w:rtl w:val="0"/>
              </w:rPr>
            </w:r>
          </w:p>
          <w:p w:rsidR="00000000" w:rsidDel="00000000" w:rsidP="00000000" w:rsidRDefault="00000000" w:rsidRPr="00000000" w14:paraId="00000023">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57"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Furthermore, in class focus writing groups, in addition to quality first teaching. Move up, stay up will also continue to help teachers to plan for small group support/booster sessions and interventions to help reduce this gap between disadvantaged and non-disadvantaged pupils quickly from day one.</w:t>
            </w:r>
          </w:p>
          <w:p w:rsidR="00000000" w:rsidDel="00000000" w:rsidP="00000000" w:rsidRDefault="00000000" w:rsidRPr="00000000" w14:paraId="00000024">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57" w:firstLine="0"/>
              <w:jc w:val="left"/>
              <w:rPr>
                <w:rFonts w:ascii="Arial" w:cs="Arial" w:eastAsia="Arial" w:hAnsi="Arial"/>
                <w:b w:val="1"/>
                <w:bCs w:val="1"/>
                <w:i w:val="1"/>
                <w:iCs w:val="1"/>
                <w:smallCaps w:val="0"/>
                <w:strike w:val="0"/>
                <w:color w:val="0d0d0d"/>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5">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57" w:firstLine="0"/>
              <w:jc w:val="left"/>
              <w:rPr>
                <w:rFonts w:ascii="Arial" w:cs="Arial" w:eastAsia="Arial" w:hAnsi="Arial"/>
                <w:b w:val="0"/>
                <w:bCs w:val="0"/>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d0d0d"/>
                <w:sz w:val="24"/>
                <w:szCs w:val="24"/>
                <w:u w:val="none"/>
                <w:shd w:fill="auto" w:val="clear"/>
                <w:vertAlign w:val="baseline"/>
                <w:rtl w:val="0"/>
              </w:rPr>
              <w:t xml:space="preserve">Children to have access to wider opportunities –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Pupils, including disadvantaged pupils, have continued to have access to a range of wider opportunities. Our school has participated in a wide range of sporting events which, among others, have included: weekly swimming lessons, </w:t>
            </w: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cluster events (cross country, Croydon Cup, Quicksticks Hockey etc), Mini Medics training and Bikeability.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Life Skills taught have included: </w:t>
            </w: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tying shoelaces, hoovering, washing up, pegging washing out and first aid skills!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Trips and visits have included our </w:t>
            </w:r>
            <w:r w:rsidDel="00000000" w:rsidR="00000000" w:rsidRPr="00000000">
              <w:rPr>
                <w:color w:val="000000"/>
                <w:rtl w:val="0"/>
              </w:rPr>
              <w:t xml:space="preserve">bi-annual residential, giving the pupils of Year 5 and 6 the opportunity to stay away from home for a few days, participating in resilience and teamwork building adventure activities. There have also been</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transition days (Alderman Peel/Smithdon High School), Crucial Crew, </w:t>
            </w:r>
            <w:r w:rsidDel="00000000" w:rsidR="00000000" w:rsidRPr="00000000">
              <w:rPr>
                <w:color w:val="000000"/>
                <w:rtl w:val="0"/>
              </w:rPr>
              <w:t xml:space="preserve">Norwich UEA Sainsbury Centre, Holkham Hall, Lynn Museum</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and </w:t>
            </w:r>
            <w:r w:rsidDel="00000000" w:rsidR="00000000" w:rsidRPr="00000000">
              <w:rPr>
                <w:color w:val="000000"/>
                <w:rtl w:val="0"/>
              </w:rPr>
              <w:t xml:space="preserve">the Cambridge Science Centre</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We have continued to subscribe to The Brilliant Club – Cambridge Scholar’s Programme, which included weekly face-to-face tutorials and a graduation in Cambridge. </w:t>
            </w:r>
          </w:p>
          <w:p w:rsidR="00000000" w:rsidDel="00000000" w:rsidP="00000000" w:rsidRDefault="00000000" w:rsidRPr="00000000" w14:paraId="00000026">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57"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Assemblies have included: visits from Reverend Wilson, Celebration Assemblies every Friday, singing assemblies</w:t>
            </w:r>
            <w:r w:rsidDel="00000000" w:rsidR="00000000" w:rsidRPr="00000000">
              <w:rPr>
                <w:color w:val="000000"/>
                <w:rtl w:val="0"/>
              </w:rPr>
              <w:t xml:space="preserve"> as well as assemblies from visitors including classical musicians and theatre companies, both for inspiring performances, we also hosted visits from police officers through the year. </w:t>
            </w: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Furthermore,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Trust/school events and workshops have included: Mental Health Week, West Norfolk Academies Trust Music Concert at Springwood High School, Christmas Carols at St. Nicholas Chapel in King</w:t>
            </w:r>
            <w:r w:rsidDel="00000000" w:rsidR="00000000" w:rsidRPr="00000000">
              <w:rPr>
                <w:color w:val="000000"/>
                <w:rtl w:val="0"/>
              </w:rPr>
              <w:t xml:space="preserve">’s Lynn</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World Book Day, Soroptomists</w:t>
            </w:r>
            <w:r w:rsidDel="00000000" w:rsidR="00000000" w:rsidRPr="00000000">
              <w:rPr>
                <w:color w:val="000000"/>
                <w:rtl w:val="0"/>
              </w:rPr>
              <w:t xml:space="preserve">’</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Public Speaking Event at the college, Smithdon High School Year 3/4 Sports Festival, West Norfolk Academies Trust Primary Maths Challenge, Apprenticeship Day, Spelling Bee</w:t>
            </w:r>
            <w:r w:rsidDel="00000000" w:rsidR="00000000" w:rsidRPr="00000000">
              <w:rPr>
                <w:color w:val="000000"/>
                <w:rtl w:val="0"/>
              </w:rPr>
              <w:t xml:space="preserve"> and</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r w:rsidDel="00000000" w:rsidR="00000000" w:rsidRPr="00000000">
              <w:rPr>
                <w:color w:val="000000"/>
                <w:rtl w:val="0"/>
              </w:rPr>
              <w:t xml:space="preserve">a Shakespeare workshop provided by King’s Lynn Guildhall</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                                                                                                                    On average, disadvantaged pupils have accounted for 35%-50% of pupils participating in key events and enrichment opportunities.</w:t>
            </w:r>
            <w:r w:rsidDel="00000000" w:rsidR="00000000" w:rsidRPr="00000000">
              <w:rPr>
                <w:rtl w:val="0"/>
              </w:rPr>
            </w:r>
          </w:p>
          <w:p w:rsidR="00000000" w:rsidDel="00000000" w:rsidP="00000000" w:rsidRDefault="00000000" w:rsidRPr="00000000" w14:paraId="00000027">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57" w:right="57" w:firstLine="0"/>
              <w:jc w:val="left"/>
              <w:rPr>
                <w:rFonts w:ascii="Arial" w:cs="Arial" w:eastAsia="Arial" w:hAnsi="Arial"/>
                <w:b w:val="0"/>
                <w:bCs w:val="0"/>
                <w:i w:val="0"/>
                <w:iCs w:val="0"/>
                <w:smallCaps w:val="0"/>
                <w:strike w:val="0"/>
                <w:color w:val="0d0d0d"/>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8">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57" w:firstLine="0"/>
              <w:jc w:val="left"/>
              <w:rPr>
                <w:rFonts w:ascii="Arial" w:cs="Arial" w:eastAsia="Arial" w:hAnsi="Arial"/>
                <w:b w:val="0"/>
                <w:bCs w:val="0"/>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d0d0d"/>
                <w:sz w:val="24"/>
                <w:szCs w:val="24"/>
                <w:u w:val="none"/>
                <w:shd w:fill="auto" w:val="clear"/>
                <w:vertAlign w:val="baseline"/>
                <w:rtl w:val="0"/>
              </w:rPr>
              <w:t xml:space="preserve">Improved parental engagement - </w:t>
            </w: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Parental engagement continues to thrive through parents' evenings, school events, trips and extra-curricular clubs. The PTA has successfully hosted events and fundraising activities which activ</w:t>
            </w:r>
            <w:r w:rsidDel="00000000" w:rsidR="00000000" w:rsidRPr="00000000">
              <w:rPr>
                <w:rtl w:val="0"/>
              </w:rPr>
              <w:t xml:space="preserve">ely involve families and include a Christmas fayre, a field-a-thon and</w:t>
            </w: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 a well-attended Easter Eggstravaganz. Engagement via Class Dojo remains positive, with pupils achievements shared weekly, as well as photos of pupil learning shared regularly</w:t>
            </w:r>
            <w:r w:rsidDel="00000000" w:rsidR="00000000" w:rsidRPr="00000000">
              <w:rPr>
                <w:rtl w:val="0"/>
              </w:rPr>
              <w:t xml:space="preserve">.</w:t>
            </w: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 Parents also re</w:t>
            </w:r>
            <w:r w:rsidDel="00000000" w:rsidR="00000000" w:rsidRPr="00000000">
              <w:rPr>
                <w:rtl w:val="0"/>
              </w:rPr>
              <w:t xml:space="preserve">ceive regular </w:t>
            </w: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newsletters along with knowledge organisers and curriculum </w:t>
            </w:r>
            <w:r w:rsidDel="00000000" w:rsidR="00000000" w:rsidRPr="00000000">
              <w:rPr>
                <w:rtl w:val="0"/>
              </w:rPr>
              <w:t xml:space="preserve">newsletter</w:t>
            </w: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 are shared every half term to strengthen the home-school partnership</w:t>
            </w:r>
            <w:r w:rsidDel="00000000" w:rsidR="00000000" w:rsidRPr="00000000">
              <w:rPr>
                <w:rtl w:val="0"/>
              </w:rPr>
              <w:t xml:space="preserve"> and to ensure parents are aware of the content their children are being taught each half-term.</w:t>
            </w:r>
            <w:r w:rsidDel="00000000" w:rsidR="00000000" w:rsidRPr="00000000">
              <w:rPr>
                <w:rtl w:val="0"/>
              </w:rPr>
            </w:r>
          </w:p>
          <w:p w:rsidR="00000000" w:rsidDel="00000000" w:rsidP="00000000" w:rsidRDefault="00000000" w:rsidRPr="00000000" w14:paraId="00000029">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57" w:firstLine="0"/>
              <w:jc w:val="left"/>
              <w:rPr>
                <w:rFonts w:ascii="Arial" w:cs="Arial" w:eastAsia="Arial" w:hAnsi="Arial"/>
                <w:b w:val="1"/>
                <w:bCs w:val="1"/>
                <w:i w:val="0"/>
                <w:iCs w:val="0"/>
                <w:smallCaps w:val="0"/>
                <w:strike w:val="0"/>
                <w:color w:val="0d0d0d"/>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A">
            <w:pPr>
              <w:spacing w:line="240" w:lineRule="auto"/>
              <w:rPr/>
            </w:pPr>
            <w:r w:rsidDel="00000000" w:rsidR="00000000" w:rsidRPr="00000000">
              <w:rPr>
                <w:b w:val="1"/>
                <w:bCs w:val="1"/>
                <w:rtl w:val="0"/>
              </w:rPr>
              <w:t xml:space="preserve">Every teacher a teacher of SEND – </w:t>
            </w:r>
            <w:r w:rsidDel="00000000" w:rsidR="00000000" w:rsidRPr="00000000">
              <w:rPr>
                <w:rtl w:val="0"/>
              </w:rPr>
              <w:t xml:space="preserve">Regular planned CPD has supported staff development and enhanced our offer to pupils. Autumn term: Rachel Dunnet (Chapel Green Specialist Provision School - Norwich) adapting for a bespoke curriculum, SEND (speech, language and communication) creating IEPs with Trust SENCo: Rachel Bazeley-Smith. Spring term: Moderating learning plans across schools, Julie Stewart - Social stories and comic strips, Michelle Seymour - </w:t>
            </w:r>
            <w:r w:rsidDel="00000000" w:rsidR="00000000" w:rsidRPr="00000000">
              <w:rPr>
                <w:color w:val="222222"/>
                <w:highlight w:val="white"/>
                <w:rtl w:val="0"/>
              </w:rPr>
              <w:t xml:space="preserve">Communication training, widgets, timetables, behaviour</w:t>
            </w:r>
            <w:r w:rsidDel="00000000" w:rsidR="00000000" w:rsidRPr="00000000">
              <w:rPr>
                <w:rtl w:val="0"/>
              </w:rPr>
              <w:t xml:space="preserve">. Adaptations and Differentiation - Trust SENCo: Rachel Bazeley-Smith. Summer term: Rosie Smith (Young Carers), SEND Book Moderation - Trust Event. This CPD offer encompasses a broad range of training to ensure each teacher feels equipped as a teacher of SEND. This offer will continue and enhance into 26-27, as we revisit areas covered in 25-26 and deliver training in other areas also.</w:t>
            </w:r>
          </w:p>
          <w:p w:rsidR="00000000" w:rsidDel="00000000" w:rsidP="00000000" w:rsidRDefault="00000000" w:rsidRPr="00000000" w14:paraId="0000002B">
            <w:pPr>
              <w:spacing w:line="240" w:lineRule="auto"/>
              <w:rPr/>
            </w:pPr>
            <w:r w:rsidDel="00000000" w:rsidR="00000000" w:rsidRPr="00000000">
              <w:rPr>
                <w:rtl w:val="0"/>
              </w:rPr>
              <w:t xml:space="preserve">Adaptions are in place for SEND pupils who need them in order for them to access learning - to thrive and enjoy school.The trust SEND team work alongside staff to ensure planned adaptions are in place and continue to be effective. </w:t>
            </w:r>
          </w:p>
          <w:p w:rsidR="00000000" w:rsidDel="00000000" w:rsidP="00000000" w:rsidRDefault="00000000" w:rsidRPr="00000000" w14:paraId="0000002C">
            <w:pPr>
              <w:spacing w:line="240" w:lineRule="auto"/>
              <w:rPr>
                <w:b w:val="1"/>
                <w:bCs w:val="1"/>
              </w:rPr>
            </w:pPr>
            <w:r w:rsidDel="00000000" w:rsidR="00000000" w:rsidRPr="00000000">
              <w:rPr>
                <w:rtl w:val="0"/>
              </w:rPr>
              <w:t xml:space="preserve">Professional reports are shared via provision map and these outcomes feed into learning plan targets. Learning plans are on provision map and are reviewed/renewed every term (children and families are part of this process and their views are captured). </w:t>
            </w:r>
            <w:r w:rsidDel="00000000" w:rsidR="00000000" w:rsidRPr="00000000">
              <w:rPr>
                <w:rtl w:val="0"/>
              </w:rPr>
            </w:r>
          </w:p>
          <w:p w:rsidR="00000000" w:rsidDel="00000000" w:rsidP="00000000" w:rsidRDefault="00000000" w:rsidRPr="00000000" w14:paraId="0000002D">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57" w:firstLine="0"/>
              <w:jc w:val="left"/>
              <w:rPr>
                <w:rFonts w:ascii="Arial" w:cs="Arial" w:eastAsia="Arial" w:hAnsi="Arial"/>
                <w:b w:val="0"/>
                <w:bCs w:val="0"/>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d0d0d"/>
                <w:sz w:val="24"/>
                <w:szCs w:val="24"/>
                <w:u w:val="none"/>
                <w:shd w:fill="auto" w:val="clear"/>
                <w:vertAlign w:val="baseline"/>
                <w:rtl w:val="0"/>
              </w:rPr>
              <w:t xml:space="preserve">Improved % attendance -</w:t>
            </w: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 Attendance </w:t>
            </w:r>
            <w:r w:rsidDel="00000000" w:rsidR="00000000" w:rsidRPr="00000000">
              <w:rPr>
                <w:rtl w:val="0"/>
              </w:rPr>
              <w:t xml:space="preserve">for the 2025-26 was 95.0%, exactly in-line with the national average</w:t>
            </w: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 for all pupils, while attendance for disadvantaged pupils (PP) </w:t>
            </w:r>
            <w:r w:rsidDel="00000000" w:rsidR="00000000" w:rsidRPr="00000000">
              <w:rPr>
                <w:rtl w:val="0"/>
              </w:rPr>
              <w:t xml:space="preserve">was 91.3%, close to the national average of 92.3%</w:t>
            </w: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  </w:t>
            </w:r>
          </w:p>
          <w:p w:rsidR="00000000" w:rsidDel="00000000" w:rsidP="00000000" w:rsidRDefault="00000000" w:rsidRPr="00000000" w14:paraId="0000002E">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57" w:firstLine="0"/>
              <w:jc w:val="left"/>
              <w:rPr>
                <w:rFonts w:ascii="Arial" w:cs="Arial" w:eastAsia="Arial" w:hAnsi="Arial"/>
                <w:b w:val="0"/>
                <w:bCs w:val="0"/>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Improving attendance will remain a key focus in 202</w:t>
            </w:r>
            <w:r w:rsidDel="00000000" w:rsidR="00000000" w:rsidRPr="00000000">
              <w:rPr>
                <w:rtl w:val="0"/>
              </w:rPr>
              <w:t xml:space="preserve">6</w:t>
            </w: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–2</w:t>
            </w:r>
            <w:r w:rsidDel="00000000" w:rsidR="00000000" w:rsidRPr="00000000">
              <w:rPr>
                <w:rtl w:val="0"/>
              </w:rPr>
              <w:t xml:space="preserve">7</w:t>
            </w: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 as research indicates that three-quarters of schools in England identify poor attendance and low reading levels as the most significant barriers to academic achievement among socio-economically disadvantaged pupils. There will be a particular focus on </w:t>
            </w:r>
            <w:r w:rsidDel="00000000" w:rsidR="00000000" w:rsidRPr="00000000">
              <w:rPr>
                <w:rtl w:val="0"/>
              </w:rPr>
              <w:t xml:space="preserve">improving attendance for disadvantaged pupils. To do this, we look at each individual pupil to uncover the reasons for poor or non-attendance and aim to support families with solutions to enable pupils to attend as much as possible.</w:t>
            </w:r>
            <w:r w:rsidDel="00000000" w:rsidR="00000000" w:rsidRPr="00000000">
              <w:rPr>
                <w:rtl w:val="0"/>
              </w:rPr>
            </w:r>
          </w:p>
        </w:tc>
      </w:tr>
    </w:tbl>
    <w:p w:rsidR="00000000" w:rsidDel="00000000" w:rsidP="00000000" w:rsidRDefault="00000000" w:rsidRPr="00000000" w14:paraId="0000002F">
      <w:pPr>
        <w:tabs>
          <w:tab w:val="left" w:leader="none" w:pos="1155"/>
        </w:tabs>
        <w:rPr>
          <w:b w:val="1"/>
          <w:bCs w:val="1"/>
          <w:sz w:val="76"/>
          <w:szCs w:val="76"/>
        </w:rPr>
      </w:pPr>
      <w:r w:rsidDel="00000000" w:rsidR="00000000" w:rsidRPr="00000000">
        <w:rPr>
          <w:rtl w:val="0"/>
        </w:rPr>
      </w:r>
    </w:p>
    <w:sectPr>
      <w:headerReference r:id="rId7" w:type="default"/>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Calibri"/>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0">
    <w:pPr>
      <w:pStyle w:val="Heading1"/>
      <w:rPr/>
    </w:pPr>
    <w:r w:rsidDel="00000000" w:rsidR="00000000" w:rsidRPr="00000000">
      <w:rPr>
        <w:rtl w:val="0"/>
      </w:rPr>
      <w:t xml:space="preserve">Pupil premium strategy statement 2025-26                   </w:t>
    </w:r>
    <w:r w:rsidDel="00000000" w:rsidR="00000000" w:rsidRPr="00000000">
      <w:drawing>
        <wp:anchor allowOverlap="1" behindDoc="0" distB="0" distT="0" distL="114300" distR="114300" hidden="0" layoutInCell="1" locked="0" relativeHeight="0" simplePos="0">
          <wp:simplePos x="0" y="0"/>
          <wp:positionH relativeFrom="column">
            <wp:posOffset>5048250</wp:posOffset>
          </wp:positionH>
          <wp:positionV relativeFrom="paragraph">
            <wp:posOffset>-276224</wp:posOffset>
          </wp:positionV>
          <wp:extent cx="723900" cy="723900"/>
          <wp:effectExtent b="0" l="0" r="0" t="0"/>
          <wp:wrapSquare wrapText="bothSides" distB="0" distT="0" distL="114300" distR="114300"/>
          <wp:docPr id="1"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723900" cy="723900"/>
                  </a:xfrm>
                  <a:prstGeom prst="rect"/>
                  <a:ln/>
                </pic:spPr>
              </pic:pic>
            </a:graphicData>
          </a:graphic>
        </wp:anchor>
      </w:drawing>
    </w:r>
  </w:p>
  <w:p w:rsidR="00000000" w:rsidDel="00000000" w:rsidP="00000000" w:rsidRDefault="00000000" w:rsidRPr="00000000" w14:paraId="00000031">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color w:val="0d0d0d"/>
        <w:sz w:val="24"/>
        <w:szCs w:val="24"/>
        <w:lang w:val="en_GB"/>
      </w:rPr>
    </w:rPrDefault>
    <w:pPrDefault>
      <w:pPr>
        <w:spacing w:after="240" w:line="288"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pageBreakBefore w:val="1"/>
      <w:spacing w:line="240" w:lineRule="auto"/>
    </w:pPr>
    <w:rPr>
      <w:b w:val="1"/>
      <w:bCs w:val="1"/>
      <w:color w:val="104f75"/>
      <w:sz w:val="36"/>
      <w:szCs w:val="36"/>
    </w:rPr>
  </w:style>
  <w:style w:type="paragraph" w:styleId="Heading2">
    <w:name w:val="heading 2"/>
    <w:basedOn w:val="Normal"/>
    <w:next w:val="Normal"/>
    <w:pPr>
      <w:keepNext w:val="1"/>
      <w:spacing w:before="480" w:line="240" w:lineRule="auto"/>
    </w:pPr>
    <w:rPr>
      <w:b w:val="1"/>
      <w:bCs w:val="1"/>
      <w:color w:val="104f75"/>
      <w:sz w:val="32"/>
      <w:szCs w:val="32"/>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0" w:type="dxa"/>
        <w:bottom w:w="0.0" w:type="dxa"/>
        <w:right w:w="10.0" w:type="dxa"/>
      </w:tblCellMar>
    </w:tblPr>
  </w:style>
  <w:style w:type="table" w:styleId="Table2">
    <w:basedOn w:val="TableNormal"/>
    <w:tblPr>
      <w:tblStyleRowBandSize w:val="1"/>
      <w:tblStyleColBandSize w:val="1"/>
      <w:tblCellMar>
        <w:top w:w="15.0" w:type="dxa"/>
        <w:left w:w="15.0" w:type="dxa"/>
        <w:bottom w:w="15.0" w:type="dxa"/>
        <w:right w:w="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J8og+dIPvsZMxFY7FttkQ5DFfXg==">CgMxLjAyDmguZ3MwN3huaGwybW4wOABqJAoTc3VnZ2VzdC4yMnNxMmVveTJwNhINQXNobGV5IEtpcndhbmolChRzdWdnZXN0LnVxZTAyc2g5bzI2YxINQXNobGV5IEtpcndhbmolChRzdWdnZXN0LnJ6YXhtbTk2eGJjYxINQXNobGV5IEtpcndhbmokChNzdWdnZXN0LmdsdmF1b2wzZnZuEg1Bc2hsZXkgS2lyd2FuaiUKFHN1Z2dlc3QucHczbXViNXY1NTZsEg1Bc2hsZXkgS2lyd2FuaiUKFHN1Z2dlc3QudjZqeTA1bnBhYXZ3Eg1Bc2hsZXkgS2lyd2FuaiUKFHN1Z2dlc3QueHFicHl4MWl2ZWVnEg1Bc2hsZXkgS2lyd2FuciExZ3B2cExEVjRIRU5QLUtTQjBocGFHUWNreXQwUmU1dm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0x0101002381D9D54CB9A840AC6C0F7BAF779250</vt:lpwstr>
  </property>
  <property fmtid="{D5CDD505-2E9C-101B-9397-08002B2CF9AE}" pid="3" name="Order">
    <vt:lpwstr>3312000.0</vt:lpwstr>
  </property>
</Properties>
</file>