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heading=h.40vaj242dqtl" w:id="0"/>
      <w:bookmarkEnd w:id="0"/>
      <w:r w:rsidDel="00000000" w:rsidR="00000000" w:rsidRPr="00000000">
        <w:rPr>
          <w:rtl w:val="0"/>
        </w:rPr>
        <w:t xml:space="preserve">Pupil premium strategy statement </w:t>
      </w:r>
      <w:r w:rsidDel="00000000" w:rsidR="00000000" w:rsidRPr="00000000">
        <w:rPr>
          <w:u w:val="single"/>
          <w:rtl w:val="0"/>
        </w:rPr>
        <w:t xml:space="preserve">Heacham Junior School</w:t>
      </w:r>
      <w:r w:rsidDel="00000000" w:rsidR="00000000" w:rsidRPr="00000000">
        <w:rPr>
          <w:rtl w:val="0"/>
        </w:rPr>
        <w:t xml:space="preserve"> </w:t>
      </w:r>
    </w:p>
    <w:p w:rsidR="00000000" w:rsidDel="00000000" w:rsidP="00000000" w:rsidRDefault="00000000" w:rsidRPr="00000000" w14:paraId="00000002">
      <w:pPr>
        <w:spacing w:after="0" w:lineRule="auto"/>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rtl w:val="0"/>
        </w:rPr>
        <w:t xml:space="preserve">This statement details our school’s use of pupil premium funding to help improve the attainment of our disadvantaged pupils. </w:t>
      </w:r>
      <w:r w:rsidDel="00000000" w:rsidR="00000000" w:rsidRPr="00000000">
        <w:rPr>
          <w:rtl w:val="0"/>
        </w:rPr>
      </w:r>
    </w:p>
    <w:p w:rsidR="00000000" w:rsidDel="00000000" w:rsidP="00000000" w:rsidRDefault="00000000" w:rsidRPr="00000000" w14:paraId="00000004">
      <w:pPr>
        <w:rPr>
          <w:b w:val="1"/>
          <w:bCs w:val="1"/>
        </w:rPr>
      </w:pPr>
      <w:r w:rsidDel="00000000" w:rsidR="00000000" w:rsidRPr="00000000">
        <w:rPr>
          <w:rtl w:val="0"/>
        </w:rPr>
        <w:t xml:space="preserve">It outlines our pupil premium strategy, how we intend to spend the funding in this academic year and the outcomes for disadvantaged pupils last academic year.</w:t>
      </w:r>
      <w:r w:rsidDel="00000000" w:rsidR="00000000" w:rsidRPr="00000000">
        <w:rPr>
          <w:rtl w:val="0"/>
        </w:rPr>
      </w:r>
    </w:p>
    <w:p w:rsidR="00000000" w:rsidDel="00000000" w:rsidP="00000000" w:rsidRDefault="00000000" w:rsidRPr="00000000" w14:paraId="00000005">
      <w:pPr>
        <w:pStyle w:val="Heading2"/>
        <w:rPr/>
      </w:pPr>
      <w:r w:rsidDel="00000000" w:rsidR="00000000" w:rsidRPr="00000000">
        <w:rPr>
          <w:rtl w:val="0"/>
        </w:rPr>
        <w:t xml:space="preserve">School overview</w:t>
      </w:r>
    </w:p>
    <w:tbl>
      <w:tblPr>
        <w:tblStyle w:val="Table1"/>
        <w:tblW w:w="10456.0" w:type="dxa"/>
        <w:jc w:val="left"/>
        <w:tblLayout w:type="fixed"/>
        <w:tblLook w:val="0400"/>
      </w:tblPr>
      <w:tblGrid>
        <w:gridCol w:w="7183"/>
        <w:gridCol w:w="3273"/>
        <w:tblGridChange w:id="0">
          <w:tblGrid>
            <w:gridCol w:w="7183"/>
            <w:gridCol w:w="32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0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Data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Number of pupils in school</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93</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Proportion (%) of pupil premium eligible pupils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29</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t>
            </w:r>
            <w:r w:rsidDel="00000000" w:rsidR="00000000" w:rsidRPr="00000000">
              <w:rPr>
                <w:rtl w:val="0"/>
              </w:rPr>
              <w:t xml:space="preserve">93</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t>
            </w:r>
            <w:r w:rsidDel="00000000" w:rsidR="00000000" w:rsidRPr="00000000">
              <w:rPr>
                <w:rtl w:val="0"/>
              </w:rPr>
              <w:t xml:space="preserve">31%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Academic year/years that our current pupil premium strategy plan covers </w:t>
            </w: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(3-year plans are recommended – you must still publish an updated statement each academic year)</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2025-2026 </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2026-2027 =</w:t>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2027-2028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this statement was published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February 2026</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Date on which it will be reviewed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September 2026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Statement authorised by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Louise Jackson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Governor / Trustee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Barbara Herring </w:t>
            </w:r>
          </w:p>
        </w:tc>
      </w:tr>
    </w:tbl>
    <w:p w:rsidR="00000000" w:rsidDel="00000000" w:rsidP="00000000" w:rsidRDefault="00000000" w:rsidRPr="00000000" w14:paraId="0000001A">
      <w:pPr>
        <w:pStyle w:val="Heading2"/>
        <w:rPr/>
      </w:pPr>
      <w:r w:rsidDel="00000000" w:rsidR="00000000" w:rsidRPr="00000000">
        <w:rPr>
          <w:rtl w:val="0"/>
        </w:rPr>
        <w:t xml:space="preserve">Funding overview</w:t>
      </w:r>
    </w:p>
    <w:tbl>
      <w:tblPr>
        <w:tblStyle w:val="Table2"/>
        <w:tblW w:w="10485.0" w:type="dxa"/>
        <w:jc w:val="left"/>
        <w:tblLayout w:type="fixed"/>
        <w:tblLook w:val="0400"/>
      </w:tblPr>
      <w:tblGrid>
        <w:gridCol w:w="6516"/>
        <w:gridCol w:w="3969"/>
        <w:tblGridChange w:id="0">
          <w:tblGrid>
            <w:gridCol w:w="6516"/>
            <w:gridCol w:w="3969"/>
          </w:tblGrid>
        </w:tblGridChange>
      </w:tblGrid>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1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vAlign w:val="cente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Amount</w:t>
            </w:r>
            <w:r w:rsidDel="00000000" w:rsidR="00000000" w:rsidRPr="00000000">
              <w:rPr>
                <w:rtl w:val="0"/>
              </w:rPr>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funding allocation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t>
            </w:r>
          </w:p>
        </w:tc>
      </w:tr>
      <w:tr>
        <w:trPr>
          <w:cantSplit w:val="0"/>
          <w:trHeight w:val="374"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vAlign w:val="center"/>
          </w:tcPr>
          <w:p w:rsidR="00000000" w:rsidDel="00000000" w:rsidP="00000000" w:rsidRDefault="00000000" w:rsidRPr="00000000" w14:paraId="0000001F">
            <w:pPr>
              <w:keepNext w:val="0"/>
              <w:keepLines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Pupil premium funding carried forward from previous years </w:t>
            </w:r>
            <w:r w:rsidDel="00000000" w:rsidR="00000000" w:rsidRPr="00000000">
              <w:rPr>
                <w:rFonts w:ascii="Arial" w:cs="Arial" w:eastAsia="Arial" w:hAnsi="Arial"/>
                <w:b w:val="0"/>
                <w:bCs w:val="0"/>
                <w:i w:val="1"/>
                <w:iCs w:val="1"/>
                <w:smallCaps w:val="0"/>
                <w:strike w:val="0"/>
                <w:color w:val="0d0d0d"/>
                <w:sz w:val="24"/>
                <w:szCs w:val="24"/>
                <w:u w:val="none"/>
                <w:shd w:fill="auto" w:val="clear"/>
                <w:vertAlign w:val="baseline"/>
                <w:rtl w:val="0"/>
              </w:rPr>
              <w:t xml:space="preserve">(enter £0 if not applicable)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£0</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2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Total budget for this academic year</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1"/>
                <w:iCs w:val="1"/>
                <w:smallCaps w:val="0"/>
                <w:strike w:val="0"/>
                <w:color w:val="0d0d0d"/>
                <w:sz w:val="24"/>
                <w:szCs w:val="24"/>
                <w:u w:val="none"/>
                <w:shd w:fill="auto" w:val="clear"/>
                <w:vertAlign w:val="baseline"/>
                <w:rtl w:val="0"/>
              </w:rPr>
              <w:t xml:space="preserve">If your school is an academy in a trust that pools this funding, state the amount available to your school this academic year</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t>
            </w:r>
          </w:p>
        </w:tc>
      </w:tr>
    </w:tbl>
    <w:p w:rsidR="00000000" w:rsidDel="00000000" w:rsidP="00000000" w:rsidRDefault="00000000" w:rsidRPr="00000000" w14:paraId="00000024">
      <w:pPr>
        <w:pStyle w:val="Heading1"/>
        <w:rPr/>
      </w:pPr>
      <w:r w:rsidDel="00000000" w:rsidR="00000000" w:rsidRPr="00000000">
        <w:rPr>
          <w:rtl w:val="0"/>
        </w:rPr>
        <w:t xml:space="preserve">Part A: Pupil premium strategy plan</w:t>
      </w:r>
    </w:p>
    <w:p w:rsidR="00000000" w:rsidDel="00000000" w:rsidP="00000000" w:rsidRDefault="00000000" w:rsidRPr="00000000" w14:paraId="00000025">
      <w:pPr>
        <w:pStyle w:val="Heading2"/>
        <w:rPr/>
      </w:pPr>
      <w:bookmarkStart w:colFirst="0" w:colLast="0" w:name="_heading=h.4480f6fed77p" w:id="1"/>
      <w:bookmarkEnd w:id="1"/>
      <w:r w:rsidDel="00000000" w:rsidR="00000000" w:rsidRPr="00000000">
        <w:rPr>
          <w:rtl w:val="0"/>
        </w:rPr>
        <w:t xml:space="preserve">Statement of intent</w:t>
      </w:r>
    </w:p>
    <w:tbl>
      <w:tblPr>
        <w:tblStyle w:val="Table3"/>
        <w:tblW w:w="10768.0" w:type="dxa"/>
        <w:jc w:val="left"/>
        <w:tblLayout w:type="fixed"/>
        <w:tblLook w:val="0400"/>
      </w:tblPr>
      <w:tblGrid>
        <w:gridCol w:w="10768"/>
        <w:tblGridChange w:id="0">
          <w:tblGrid>
            <w:gridCol w:w="1076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Our intention is that all pupils within </w:t>
            </w:r>
            <w:r w:rsidDel="00000000" w:rsidR="00000000" w:rsidRPr="00000000">
              <w:rPr>
                <w:rtl w:val="0"/>
              </w:rPr>
              <w:t xml:space="preserve">our</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local community, irrespective of their background or the challenges they face, </w:t>
            </w:r>
            <w:r w:rsidDel="00000000" w:rsidR="00000000" w:rsidRPr="00000000">
              <w:rPr>
                <w:rtl w:val="0"/>
              </w:rPr>
              <w:t xml:space="preserve">access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scho</w:t>
            </w:r>
            <w:r w:rsidDel="00000000" w:rsidR="00000000" w:rsidRPr="00000000">
              <w:rPr>
                <w:rtl w:val="0"/>
              </w:rPr>
              <w:t xml:space="preserve">ol,</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make good progress and achieve high attainment across all subject areas. The focus of our pupil premium strategy is to support all pupils, including those that are disadvantaged to achieve that goal, including progress for those who are already high attainers. We will consider the challenges faced by vulnerable pupils, such as those who have a social worker or an Educational Health Care Plan. The activit</w:t>
            </w:r>
            <w:r w:rsidDel="00000000" w:rsidR="00000000" w:rsidRPr="00000000">
              <w:rPr>
                <w:rtl w:val="0"/>
              </w:rPr>
              <w:t xml:space="preserve">ies and provisions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we have outlined in this statement </w:t>
            </w:r>
            <w:r w:rsidDel="00000000" w:rsidR="00000000" w:rsidRPr="00000000">
              <w:rPr>
                <w:rtl w:val="0"/>
              </w:rPr>
              <w:t xml:space="preserve">are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also intended to support their needs, regardless of whether they are disadvantaged or not. </w:t>
            </w:r>
          </w:p>
          <w:p w:rsidR="00000000" w:rsidDel="00000000" w:rsidP="00000000" w:rsidRDefault="00000000" w:rsidRPr="00000000" w14:paraId="000000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The most important element of our pupil premium strategy is providing disadvantaged pupils with high-quality teachers at the front of the classroom, first and foremost. As stated in the recent EEF research into pupil premium, this is the most impactful action that schools can implement to ensure disadvantaged pupils are receiving the best possible offer in school. We also look to provide a high amount of targeted academic support. This is proven to have an incredibly positive impact on closing the disadvantage attainment gap and at the same time will benefit the non-disadvantaged pupils in our school. Implicit in the intended outcomes detailed below, is the intention that non-disadvantaged pupils’ attainment will be sustained and improved alongside progress for their disadvantaged peers.</w:t>
            </w:r>
          </w:p>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Our approach will be responsive to common challenges and individual needs, rooted in robust diagnostic assessment, not assumptions about the impact of disadvantage. The approaches we have adopted complement each other to help pupils excel. </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Our objectives are to:</w:t>
            </w:r>
          </w:p>
          <w:p w:rsidR="00000000" w:rsidDel="00000000" w:rsidP="00000000" w:rsidRDefault="00000000" w:rsidRPr="00000000" w14:paraId="0000002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870" w:right="0" w:hanging="36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Remove barriers to learning created by social and economic background. Increase </w:t>
            </w:r>
            <w:r w:rsidDel="00000000" w:rsidR="00000000" w:rsidRPr="00000000">
              <w:rPr>
                <w:rtl w:val="0"/>
              </w:rPr>
              <w:t xml:space="preserve">attendance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and </w:t>
            </w:r>
            <w:r w:rsidDel="00000000" w:rsidR="00000000" w:rsidRPr="00000000">
              <w:rPr>
                <w:rtl w:val="0"/>
              </w:rPr>
              <w:t xml:space="preserve">attainment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870" w:right="0" w:hanging="36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tl w:val="0"/>
              </w:rPr>
              <w:t xml:space="preserve">Identify the needs of individuals on the pupil premium register and discover the barriers that are preventing them from achieving at the same rate as their peers.</w:t>
            </w:r>
            <w:r w:rsidDel="00000000" w:rsidR="00000000" w:rsidRPr="00000000">
              <w:rPr>
                <w:rtl w:val="0"/>
              </w:rPr>
            </w:r>
          </w:p>
          <w:p w:rsidR="00000000" w:rsidDel="00000000" w:rsidP="00000000" w:rsidRDefault="00000000" w:rsidRPr="00000000" w14:paraId="0000002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870" w:right="0" w:hanging="36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Develop confidence in </w:t>
            </w:r>
            <w:r w:rsidDel="00000000" w:rsidR="00000000" w:rsidRPr="00000000">
              <w:rPr>
                <w:rtl w:val="0"/>
              </w:rPr>
              <w:t xml:space="preserve">children's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ability to communicate effectively in a wide range of contexts, learn new vocabulary,</w:t>
            </w:r>
            <w:r w:rsidDel="00000000" w:rsidR="00000000" w:rsidRPr="00000000">
              <w:rPr>
                <w:rtl w:val="0"/>
              </w:rPr>
              <w:t xml:space="preserve">and build their own social relationships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F">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870" w:right="0" w:hanging="36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Ensure</w:t>
            </w:r>
            <w:r w:rsidDel="00000000" w:rsidR="00000000" w:rsidRPr="00000000">
              <w:rPr>
                <w:rtl w:val="0"/>
              </w:rPr>
              <w:t xml:space="preserve"> quality interactions, live marking and feedback builds understanding quickly; addressing misconceptions. </w:t>
            </w:r>
            <w:r w:rsidDel="00000000" w:rsidR="00000000" w:rsidRPr="00000000">
              <w:rPr>
                <w:rtl w:val="0"/>
              </w:rPr>
            </w:r>
          </w:p>
          <w:p w:rsidR="00000000" w:rsidDel="00000000" w:rsidP="00000000" w:rsidRDefault="00000000" w:rsidRPr="00000000" w14:paraId="00000030">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88" w:lineRule="auto"/>
              <w:ind w:left="870" w:right="0" w:hanging="36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Enable pupils to nurture their social and emotional wellbeing and to develop regulation and resilience. </w:t>
            </w:r>
            <w:r w:rsidDel="00000000" w:rsidR="00000000" w:rsidRPr="00000000">
              <w:rPr>
                <w:rtl w:val="0"/>
              </w:rPr>
            </w:r>
          </w:p>
          <w:p w:rsidR="00000000" w:rsidDel="00000000" w:rsidP="00000000" w:rsidRDefault="00000000" w:rsidRPr="00000000" w14:paraId="00000031">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40" w:before="0" w:line="288" w:lineRule="auto"/>
              <w:ind w:left="870" w:right="0" w:hanging="360"/>
              <w:jc w:val="left"/>
              <w:rPr>
                <w:rFonts w:ascii="Arial" w:cs="Arial" w:eastAsia="Arial" w:hAnsi="Arial"/>
                <w:b w:val="0"/>
                <w:bCs w:val="0"/>
                <w:i w:val="1"/>
                <w:iCs w:val="1"/>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•Access a wide range of enrichment opportunities to enhance knowledge and understanding of the world and raise aspirations.</w:t>
            </w:r>
            <w:r w:rsidDel="00000000" w:rsidR="00000000" w:rsidRPr="00000000">
              <w:rPr>
                <w:rtl w:val="0"/>
              </w:rPr>
            </w:r>
          </w:p>
          <w:p w:rsidR="00000000" w:rsidDel="00000000" w:rsidP="00000000" w:rsidRDefault="00000000" w:rsidRPr="00000000" w14:paraId="0000003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240" w:before="0" w:line="288" w:lineRule="auto"/>
              <w:ind w:left="870" w:right="0" w:hanging="360"/>
              <w:jc w:val="left"/>
              <w:rPr>
                <w:u w:val="none"/>
              </w:rPr>
            </w:pPr>
            <w:r w:rsidDel="00000000" w:rsidR="00000000" w:rsidRPr="00000000">
              <w:rPr>
                <w:rtl w:val="0"/>
              </w:rPr>
              <w:t xml:space="preserve">Offer a curriculum with planned links to the Gatsby benchmarks to instil career opportunities for future education. </w:t>
            </w:r>
            <w:r w:rsidDel="00000000" w:rsidR="00000000" w:rsidRPr="00000000">
              <w:rPr>
                <w:rtl w:val="0"/>
              </w:rPr>
            </w:r>
          </w:p>
          <w:p w:rsidR="00000000" w:rsidDel="00000000" w:rsidP="00000000" w:rsidRDefault="00000000" w:rsidRPr="00000000" w14:paraId="00000033">
            <w:pPr>
              <w:ind w:left="510" w:firstLine="0"/>
              <w:rPr>
                <w:i w:val="1"/>
                <w:iCs w:val="1"/>
              </w:rPr>
            </w:pPr>
            <w:r w:rsidDel="00000000" w:rsidR="00000000" w:rsidRPr="00000000">
              <w:rPr>
                <w:rtl w:val="0"/>
              </w:rPr>
              <w:t xml:space="preserve">Achieving our objectives: </w:t>
            </w: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In order to achieve our objectives and overcome identified barriers to learning we will:</w:t>
            </w:r>
          </w:p>
          <w:p w:rsidR="00000000" w:rsidDel="00000000" w:rsidP="00000000" w:rsidRDefault="00000000" w:rsidRPr="00000000" w14:paraId="00000035">
            <w:pPr>
              <w:rPr/>
            </w:pPr>
            <w:r w:rsidDel="00000000" w:rsidR="00000000" w:rsidRPr="00000000">
              <w:rPr>
                <w:rtl w:val="0"/>
              </w:rPr>
              <w:t xml:space="preserve"> • Provide all teachers with high quality CPD to ensure that pupils access effective quality first teaching.</w:t>
            </w:r>
          </w:p>
          <w:p w:rsidR="00000000" w:rsidDel="00000000" w:rsidP="00000000" w:rsidRDefault="00000000" w:rsidRPr="00000000" w14:paraId="00000036">
            <w:pPr>
              <w:rPr/>
            </w:pPr>
            <w:r w:rsidDel="00000000" w:rsidR="00000000" w:rsidRPr="00000000">
              <w:rPr>
                <w:rtl w:val="0"/>
              </w:rPr>
              <w:t xml:space="preserve">• Conduct regular quality assurance to ascertain academic barriers and address these.</w:t>
            </w:r>
          </w:p>
          <w:p w:rsidR="00000000" w:rsidDel="00000000" w:rsidP="00000000" w:rsidRDefault="00000000" w:rsidRPr="00000000" w14:paraId="00000037">
            <w:pPr>
              <w:rPr/>
            </w:pPr>
            <w:r w:rsidDel="00000000" w:rsidR="00000000" w:rsidRPr="00000000">
              <w:rPr>
                <w:rtl w:val="0"/>
              </w:rPr>
              <w:t xml:space="preserve"> • Provide targeted support to quickly address identified gaps in learning. </w:t>
            </w:r>
          </w:p>
          <w:p w:rsidR="00000000" w:rsidDel="00000000" w:rsidP="00000000" w:rsidRDefault="00000000" w:rsidRPr="00000000" w14:paraId="00000038">
            <w:pPr>
              <w:rPr/>
            </w:pPr>
            <w:r w:rsidDel="00000000" w:rsidR="00000000" w:rsidRPr="00000000">
              <w:rPr>
                <w:rtl w:val="0"/>
              </w:rPr>
              <w:t xml:space="preserve">• Target funding to ensure that all pupils have access to quality teaching, trips, residential visits and first-hand learning experiences. </w:t>
            </w:r>
          </w:p>
          <w:p w:rsidR="00000000" w:rsidDel="00000000" w:rsidP="00000000" w:rsidRDefault="00000000" w:rsidRPr="00000000" w14:paraId="00000039">
            <w:pPr>
              <w:rPr/>
            </w:pPr>
            <w:r w:rsidDel="00000000" w:rsidR="00000000" w:rsidRPr="00000000">
              <w:rPr>
                <w:rtl w:val="0"/>
              </w:rPr>
              <w:t xml:space="preserve">• Provide opportunities for all pupils to participate in enrichment activities including careers,sport and music. </w:t>
            </w:r>
          </w:p>
          <w:p w:rsidR="00000000" w:rsidDel="00000000" w:rsidP="00000000" w:rsidRDefault="00000000" w:rsidRPr="00000000" w14:paraId="0000003A">
            <w:pPr>
              <w:rPr>
                <w:i w:val="1"/>
                <w:iCs w:val="1"/>
              </w:rPr>
            </w:pPr>
            <w:r w:rsidDel="00000000" w:rsidR="00000000" w:rsidRPr="00000000">
              <w:rPr>
                <w:rtl w:val="0"/>
              </w:rPr>
              <w:t xml:space="preserve">• Provide nurture to support pupils in their emotional and social development.</w:t>
            </w:r>
            <w:r w:rsidDel="00000000" w:rsidR="00000000" w:rsidRPr="00000000">
              <w:rPr>
                <w:rtl w:val="0"/>
              </w:rPr>
            </w:r>
          </w:p>
        </w:tc>
      </w:tr>
    </w:tbl>
    <w:p w:rsidR="00000000" w:rsidDel="00000000" w:rsidP="00000000" w:rsidRDefault="00000000" w:rsidRPr="00000000" w14:paraId="0000003B">
      <w:pPr>
        <w:pStyle w:val="Heading2"/>
        <w:spacing w:before="600" w:lineRule="auto"/>
        <w:rPr/>
      </w:pPr>
      <w:r w:rsidDel="00000000" w:rsidR="00000000" w:rsidRPr="00000000">
        <w:rPr>
          <w:rtl w:val="0"/>
        </w:rPr>
        <w:t xml:space="preserve">Challenges</w:t>
      </w:r>
    </w:p>
    <w:p w:rsidR="00000000" w:rsidDel="00000000" w:rsidP="00000000" w:rsidRDefault="00000000" w:rsidRPr="00000000" w14:paraId="0000003C">
      <w:pPr>
        <w:rPr/>
      </w:pPr>
      <w:r w:rsidDel="00000000" w:rsidR="00000000" w:rsidRPr="00000000">
        <w:rPr>
          <w:rtl w:val="0"/>
        </w:rPr>
        <w:t xml:space="preserve">This details the key challenges to achievement that we have identified among our disadvantaged pupils.</w:t>
      </w:r>
    </w:p>
    <w:tbl>
      <w:tblPr>
        <w:tblStyle w:val="Table4"/>
        <w:tblW w:w="10456.0" w:type="dxa"/>
        <w:jc w:val="left"/>
        <w:tblLayout w:type="fixed"/>
        <w:tblLook w:val="0400"/>
      </w:tblPr>
      <w:tblGrid>
        <w:gridCol w:w="1628"/>
        <w:gridCol w:w="8828"/>
        <w:tblGridChange w:id="0">
          <w:tblGrid>
            <w:gridCol w:w="1628"/>
            <w:gridCol w:w="882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Detail of challenge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National and internal assessments indicate that attainment in writing among disadvantaged pupils is generally </w:t>
            </w:r>
            <w:r w:rsidDel="00000000" w:rsidR="00000000" w:rsidRPr="00000000">
              <w:rPr>
                <w:rtl w:val="0"/>
              </w:rPr>
              <w:t xml:space="preserve">below</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that of nondisadvantaged pupils.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2</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Assessments, observation and discussions with pupils indicate that under-developed oral language skills and vocabulary gaps are more prevalent among our disadvantaged pupils than their peers</w:t>
            </w:r>
            <w:r w:rsidDel="00000000" w:rsidR="00000000" w:rsidRPr="00000000">
              <w:rPr>
                <w:rtl w:val="0"/>
              </w:rPr>
              <w:t xml:space="preserve">.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This is also having an impact on</w:t>
            </w:r>
            <w:r w:rsidDel="00000000" w:rsidR="00000000" w:rsidRPr="00000000">
              <w:rPr>
                <w:rtl w:val="0"/>
              </w:rPr>
              <w:t xml:space="preserve"> their results.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3</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Our school is experiencing a higher prevalence of neuro diversity, dysregulation, social, emotional and mental health related conditions among pupils. This can mean that some pupils may need additional support in order to access the curriculum.</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Our disadvantaged pupils do not always have the same experiences as our non-disadvantaged pupils. Therefore, it is important that our school continues to offer a range of enrichment opportunities in order to ensure access, not only to extended provision e.g. drop in but also wider opportunities which are subsidised.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5</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Some families find it difficult to engage and this can have an impact on the way in which they can support their child’s learning/aspiration, including home reading, attending school events to find out how their child is progressing and workshops.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bookmarkStart w:colFirst="0" w:colLast="0" w:name="_heading=h.rayh2y55s2dh" w:id="2"/>
            <w:bookmarkEnd w:id="2"/>
            <w:r w:rsidDel="00000000" w:rsidR="00000000" w:rsidRPr="00000000">
              <w:rPr>
                <w:sz w:val="22"/>
                <w:szCs w:val="22"/>
                <w:rtl w:val="0"/>
              </w:rPr>
              <w:t xml:space="preserve">6</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Attendance data at </w:t>
            </w:r>
            <w:r w:rsidDel="00000000" w:rsidR="00000000" w:rsidRPr="00000000">
              <w:rPr>
                <w:rtl w:val="0"/>
              </w:rPr>
              <w:t xml:space="preserve">Heacham Junior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School over the last three years indicates that attendance among disadvantaged pupils has been consistently lower than for non-disadvantaged pupils. Recently, this is improving but a proportion of our disadvantaged pupils, particularly those with additional needs have been persistently absent. Our assessments and observations indicate that absenteeism is negatively impacting disadvantaged pupils’ progress.</w:t>
            </w:r>
            <w:r w:rsidDel="00000000" w:rsidR="00000000" w:rsidRPr="00000000">
              <w:rPr>
                <w:rtl w:val="0"/>
              </w:rPr>
            </w:r>
          </w:p>
        </w:tc>
      </w:tr>
    </w:tbl>
    <w:p w:rsidR="00000000" w:rsidDel="00000000" w:rsidP="00000000" w:rsidRDefault="00000000" w:rsidRPr="00000000" w14:paraId="0000004B">
      <w:pPr>
        <w:pStyle w:val="Heading2"/>
        <w:spacing w:before="600" w:lineRule="auto"/>
        <w:rPr/>
      </w:pPr>
      <w:r w:rsidDel="00000000" w:rsidR="00000000" w:rsidRPr="00000000">
        <w:rPr>
          <w:rtl w:val="0"/>
        </w:rPr>
        <w:t xml:space="preserve">Intended outcomes </w:t>
      </w:r>
    </w:p>
    <w:p w:rsidR="00000000" w:rsidDel="00000000" w:rsidP="00000000" w:rsidRDefault="00000000" w:rsidRPr="00000000" w14:paraId="0000004C">
      <w:pPr>
        <w:rPr/>
      </w:pPr>
      <w:r w:rsidDel="00000000" w:rsidR="00000000" w:rsidRPr="00000000">
        <w:rPr>
          <w:color w:val="000000"/>
          <w:rtl w:val="0"/>
        </w:rPr>
        <w:t xml:space="preserve">This explains the outcomes we are aiming for </w:t>
      </w:r>
      <w:r w:rsidDel="00000000" w:rsidR="00000000" w:rsidRPr="00000000">
        <w:rPr>
          <w:b w:val="1"/>
          <w:bCs w:val="1"/>
          <w:color w:val="000000"/>
          <w:rtl w:val="0"/>
        </w:rPr>
        <w:t xml:space="preserve">by the end of our current strategy plan</w:t>
      </w:r>
      <w:r w:rsidDel="00000000" w:rsidR="00000000" w:rsidRPr="00000000">
        <w:rPr>
          <w:color w:val="000000"/>
          <w:rtl w:val="0"/>
        </w:rPr>
        <w:t xml:space="preserve">, and how we will measure whether they have been achieved.</w:t>
      </w:r>
      <w:r w:rsidDel="00000000" w:rsidR="00000000" w:rsidRPr="00000000">
        <w:rPr>
          <w:rtl w:val="0"/>
        </w:rPr>
      </w:r>
    </w:p>
    <w:tbl>
      <w:tblPr>
        <w:tblStyle w:val="Table5"/>
        <w:tblW w:w="10456.0" w:type="dxa"/>
        <w:jc w:val="left"/>
        <w:tblLayout w:type="fixed"/>
        <w:tblLook w:val="0400"/>
      </w:tblPr>
      <w:tblGrid>
        <w:gridCol w:w="3397"/>
        <w:gridCol w:w="7059"/>
        <w:tblGridChange w:id="0">
          <w:tblGrid>
            <w:gridCol w:w="3397"/>
            <w:gridCol w:w="70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Intended outcome</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4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Success criteria</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4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to achieve national expectations in progress and attainment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By the end of KS2 p</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upils will achieve as highly in writing as they have in reading and mathematics, as teachers </w:t>
            </w:r>
            <w:r w:rsidDel="00000000" w:rsidR="00000000" w:rsidRPr="00000000">
              <w:rPr>
                <w:rtl w:val="0"/>
              </w:rPr>
              <w:t xml:space="preserve">skillfully</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adapt provision and enable strong progress in grammar, spelling and punctuation. A specific strategy to </w:t>
            </w:r>
            <w:r w:rsidDel="00000000" w:rsidR="00000000" w:rsidRPr="00000000">
              <w:rPr>
                <w:rtl w:val="0"/>
              </w:rPr>
              <w:t xml:space="preserve">use sentence doctor to improve the fundamentals. </w:t>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 KS2 to continue to achieve EXS/GDS to meet their individual targets, with writing a particular focus. Regular pupil progress reviews and targeted support put in place as required. These will help target specific pupil weaknesses through planned intervention.</w:t>
            </w:r>
          </w:p>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 Pupils will attain in line with non-disadvantaged pupils/national averages RWM %, PSC, MTC and GLD. </w:t>
            </w:r>
          </w:p>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Pupils will attain in line with non-disadvantaged pupils/national averages RWM % (EXS/GDS) </w:t>
            </w:r>
          </w:p>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Children will have accessed small group, in class support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to have access to wider opportunities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will take part in enrichment experiences, including trust events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The percentage of pupils eligible for PP participating in each of the extracurricular clubs will be monitored and SLT </w:t>
            </w:r>
            <w:r w:rsidDel="00000000" w:rsidR="00000000" w:rsidRPr="00000000">
              <w:rPr>
                <w:rtl w:val="0"/>
              </w:rPr>
              <w:t xml:space="preserve">will take</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active steps to increase participation where appropriate. </w:t>
            </w:r>
          </w:p>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The school environment will be enriched to reflect cultural capital and raise expectations. </w:t>
            </w:r>
          </w:p>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will have music lessons</w:t>
            </w:r>
            <w:r w:rsidDel="00000000" w:rsidR="00000000" w:rsidRPr="00000000">
              <w:rPr>
                <w:rtl w:val="0"/>
              </w:rPr>
              <w:t xml:space="preserve">, including violin, cello and recorders. </w:t>
            </w:r>
            <w:r w:rsidDel="00000000" w:rsidR="00000000" w:rsidRPr="00000000">
              <w:rPr>
                <w:rtl w:val="0"/>
              </w:rPr>
            </w:r>
          </w:p>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will experience school trips/residential experiences beyond the familiar.</w:t>
            </w:r>
          </w:p>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Children will have accessed extracurricular activities (including </w:t>
            </w:r>
            <w:r w:rsidDel="00000000" w:rsidR="00000000" w:rsidRPr="00000000">
              <w:rPr>
                <w:rtl w:val="0"/>
              </w:rPr>
              <w:t xml:space="preserve">breakfast</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/after school clubs) which enhance the curriculum and support their future journey.</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Improved parental engagement</w:t>
            </w:r>
          </w:p>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Parents/carers will have access to regular workshops led by school such as reading cafes, life skills workshops</w:t>
            </w:r>
          </w:p>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Parents/carers will have support from Family Practitioners, PINS NDS, Norfolk Adult Education, Mental Health Support Team, Family Voice and SEND and Community Team </w:t>
            </w:r>
          </w:p>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Communication via Class Dojo, texting, newsletters, website enhance engagement.</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Increase relationship with school community via FOSS</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Every teacher a teacher of SEND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Adaptations and differentiation</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are in place for all SEND pupils to support learning.</w:t>
            </w:r>
          </w:p>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Leaders and Teachers champion inclusion and understand a graduated response and reflect this in quality learning plans.</w:t>
            </w:r>
          </w:p>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Strong relationships with outside agencies working with children,staff and families are sustained.</w:t>
            </w:r>
          </w:p>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Maximise flexible provision and the environment to offer enhanced provision where there is recognised heightened need.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Improved % attendance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Regular scrutiny of VYED attendance reports with enable SLT to analyse what we do and make changes </w:t>
            </w:r>
          </w:p>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tl w:val="0"/>
              </w:rPr>
              <w:t xml:space="preserve">Support first meetings will identify help for families to develop resilience and positive attitudes, making and impact on any ESBA</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Attendance lead will work closely with</w:t>
            </w:r>
            <w:r w:rsidDel="00000000" w:rsidR="00000000" w:rsidRPr="00000000">
              <w:rPr>
                <w:rtl w:val="0"/>
              </w:rPr>
              <w:t xml:space="preserve"> TSM, NCC and</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parents to offer support first and improve attendance through early intervention an</w:t>
            </w:r>
            <w:r w:rsidDel="00000000" w:rsidR="00000000" w:rsidRPr="00000000">
              <w:rPr>
                <w:rtl w:val="0"/>
              </w:rPr>
              <w:t xml:space="preserve">d work to remove barriers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w:t>
            </w:r>
          </w:p>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Attendance of disadvantaged pupils </w:t>
            </w:r>
            <w:r w:rsidDel="00000000" w:rsidR="00000000" w:rsidRPr="00000000">
              <w:rPr>
                <w:rtl w:val="0"/>
              </w:rPr>
              <w:t xml:space="preserve">particularly</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will be closely monitored. • Attendance aim – in line with national average – persistent absence is reduced.</w:t>
            </w:r>
          </w:p>
        </w:tc>
      </w:tr>
    </w:tbl>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pStyle w:val="Heading2"/>
        <w:rPr/>
      </w:pPr>
      <w:r w:rsidDel="00000000" w:rsidR="00000000" w:rsidRPr="00000000">
        <w:rPr>
          <w:rtl w:val="0"/>
        </w:rPr>
        <w:t xml:space="preserve">Activity in this academic year 25-26</w:t>
      </w:r>
    </w:p>
    <w:p w:rsidR="00000000" w:rsidDel="00000000" w:rsidP="00000000" w:rsidRDefault="00000000" w:rsidRPr="00000000" w14:paraId="0000006E">
      <w:pPr>
        <w:spacing w:after="480" w:lineRule="auto"/>
        <w:rPr/>
      </w:pPr>
      <w:r w:rsidDel="00000000" w:rsidR="00000000" w:rsidRPr="00000000">
        <w:rPr>
          <w:rtl w:val="0"/>
        </w:rPr>
        <w:t xml:space="preserve">This details how we intend to spend our pupil premium funding </w:t>
      </w:r>
      <w:r w:rsidDel="00000000" w:rsidR="00000000" w:rsidRPr="00000000">
        <w:rPr>
          <w:b w:val="1"/>
          <w:bCs w:val="1"/>
          <w:rtl w:val="0"/>
        </w:rPr>
        <w:t xml:space="preserve">this academic year</w:t>
      </w:r>
      <w:r w:rsidDel="00000000" w:rsidR="00000000" w:rsidRPr="00000000">
        <w:rPr>
          <w:rtl w:val="0"/>
        </w:rPr>
        <w:t xml:space="preserve"> to address the challenges listed above.</w:t>
      </w:r>
    </w:p>
    <w:p w:rsidR="00000000" w:rsidDel="00000000" w:rsidP="00000000" w:rsidRDefault="00000000" w:rsidRPr="00000000" w14:paraId="0000006F">
      <w:pPr>
        <w:pStyle w:val="Heading3"/>
        <w:rPr/>
      </w:pPr>
      <w:r w:rsidDel="00000000" w:rsidR="00000000" w:rsidRPr="00000000">
        <w:rPr>
          <w:rtl w:val="0"/>
        </w:rPr>
        <w:t xml:space="preserve">Teaching (for example, CPD, recruitment and retention)</w:t>
      </w:r>
    </w:p>
    <w:p w:rsidR="00000000" w:rsidDel="00000000" w:rsidP="00000000" w:rsidRDefault="00000000" w:rsidRPr="00000000" w14:paraId="00000070">
      <w:pPr>
        <w:rPr/>
      </w:pPr>
      <w:r w:rsidDel="00000000" w:rsidR="00000000" w:rsidRPr="00000000">
        <w:rPr>
          <w:rtl w:val="0"/>
        </w:rPr>
        <w:t xml:space="preserve">Budgeted cost: £ £14,750</w:t>
      </w:r>
    </w:p>
    <w:tbl>
      <w:tblPr>
        <w:tblStyle w:val="Table6"/>
        <w:tblW w:w="10470.0" w:type="dxa"/>
        <w:jc w:val="left"/>
        <w:tblLayout w:type="fixed"/>
        <w:tblLook w:val="0400"/>
      </w:tblPr>
      <w:tblGrid>
        <w:gridCol w:w="4200"/>
        <w:gridCol w:w="3600"/>
        <w:gridCol w:w="2670"/>
        <w:tblGridChange w:id="0">
          <w:tblGrid>
            <w:gridCol w:w="4200"/>
            <w:gridCol w:w="3600"/>
            <w:gridCol w:w="267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7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7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Senior leaders design the CPD schedule and plan delivery in order to secure improved progress and attainment across the curriculum (with a particular focus on oracy</w:t>
            </w:r>
            <w:r w:rsidDel="00000000" w:rsidR="00000000" w:rsidRPr="00000000">
              <w:rPr>
                <w:rtl w:val="0"/>
              </w:rPr>
              <w:t xml:space="preserve"> and</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writing development – composition, grammar, spelling and handwriting). It supports the development of subject knowledge and aids in the recruitment and retention of new and existing staff. Leaders at all levels contribute to these sessions with additional INSET days involving experts from other schools and subject specialists.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High-quality CPD for teachers has a significant effect on pupils’ learning outcomes. Evidence suggests that quality CPD has a greater effect on pupil attainment than other interventions schools may consider, such as implementing performance related pay for teachers or lengthening the school day. Education Policy Institute, Evidence Review. </w:t>
            </w:r>
          </w:p>
          <w:p w:rsidR="00000000" w:rsidDel="00000000" w:rsidP="00000000" w:rsidRDefault="00000000" w:rsidRPr="00000000" w14:paraId="0000007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https://epi.org.uk/publicationsand-research/the-effects-of-high-qualityprofessional-development-on-teachersand-students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1,2</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1"/>
                <w:iCs w:val="1"/>
                <w:smallCaps w:val="0"/>
                <w:strike w:val="0"/>
                <w:color w:val="0d0d0d"/>
                <w:sz w:val="22"/>
                <w:szCs w:val="22"/>
                <w:u w:val="none"/>
                <w:shd w:fill="auto" w:val="clear"/>
                <w:vertAlign w:val="baseline"/>
              </w:rPr>
            </w:pPr>
            <w:r w:rsidDel="00000000" w:rsidR="00000000" w:rsidRPr="00000000">
              <w:rPr>
                <w:rtl w:val="0"/>
              </w:rPr>
              <w:t xml:space="preserve">Heacham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support staff have access to regular training and support in the form of twilights, specific training days (e.g. RWInc), CPD videos and invites to staff meetings. This ensures that intervention compliments the quality first teaching and consistency in teaching and learning across the school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Investing in professional development for teaching assistants to deliver structured interventions can be a cost-effective approach to improving learner outcomes due to the large difference in efficacy between different deployments of teaching assistants. (+4 months) Targeted deployment, where teaching assistants are trained to deliver an intervention to small groups or individuals has a higher impact.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1,2,6</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High-quality, challenging texts pervade the curriculum library and classrooms. Reading passports promoted/showcased routinely and book spine (class texts) shared with staff during CPD session to promote ‘Reading for Pleasure’. Peer reading sessions overseen by Reading Ambassador and English Lead at least twice every half term. CPD for Reading Ambassadors provided by English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Reading for pleasure leads to increased attainment. Clark and DeZoya (2011) found a significant positive relationship between enjoyment and attainment indicating that pupils who read more are also better readers. (DfE – Research Evidence on Reading for Pleasure) </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https://assets.publishing.service.gov.uk/m edia/5a7c18d540f0b61a825d66e9/reading _for_pleasure.pdf </w:t>
            </w:r>
          </w:p>
          <w:p w:rsidR="00000000" w:rsidDel="00000000" w:rsidP="00000000" w:rsidRDefault="00000000" w:rsidRPr="00000000" w14:paraId="0000007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Collaborative learning proven in EEF to raise standards.</w:t>
            </w:r>
            <w:r w:rsidDel="00000000" w:rsidR="00000000" w:rsidRPr="00000000">
              <w:rPr>
                <w:rtl w:val="0"/>
              </w:rPr>
            </w:r>
          </w:p>
          <w:p w:rsidR="00000000" w:rsidDel="00000000" w:rsidP="00000000" w:rsidRDefault="00000000" w:rsidRPr="00000000" w14:paraId="0000008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A collaborative approach involves pupils working together in group small enough for everyone to participate on a collective task that has been clearly assigned. https://educationendowmentfoundation.org .uk/education-evidence/teaching-learningtoolkit/peer-tutoring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1,2,4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Staff at </w:t>
            </w:r>
            <w:r w:rsidDel="00000000" w:rsidR="00000000" w:rsidRPr="00000000">
              <w:rPr>
                <w:rtl w:val="0"/>
              </w:rPr>
              <w:t xml:space="preserve">Heacham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benefit from oracy and vocabulary CPD (with reference to the oracy toolkit and SALT Champions), through INSET and additional CPD sessions, in order to enhance outcomes for pupils across the school in vocabulary, reading, writing and wider curriculum.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EEF Teaching and Learning Toolkit – Oral Language Interventions suggests that training can support adults to ensure they model and develop pupils’ oral language skills and vocabulary development. The average impact of oral language interventions is approximately an additional six months progress over the course of a year. https://educationendowmentfoundation.org .uk/education-evidence/teaching-learningtoolkit/oral-language-interventions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2"/>
                <w:szCs w:val="22"/>
                <w:u w:val="none"/>
                <w:shd w:fill="auto" w:val="clear"/>
                <w:vertAlign w:val="baseline"/>
                <w:rtl w:val="0"/>
              </w:rPr>
              <w:t xml:space="preserve">1,2,3,4</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Teachers and support staff will spend lessons prioritising intervention provision, precision teaching</w:t>
            </w:r>
            <w:r w:rsidDel="00000000" w:rsidR="00000000" w:rsidRPr="00000000">
              <w:rPr>
                <w:rtl w:val="0"/>
              </w:rPr>
              <w:t xml:space="preserve">, communication aids, and </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feedback to </w:t>
            </w:r>
            <w:r w:rsidDel="00000000" w:rsidR="00000000" w:rsidRPr="00000000">
              <w:rPr>
                <w:rtl w:val="0"/>
              </w:rPr>
              <w:t xml:space="preserve">pupils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through widgit,</w:t>
            </w:r>
            <w:r w:rsidDel="00000000" w:rsidR="00000000" w:rsidRPr="00000000">
              <w:rPr>
                <w:rtl w:val="0"/>
              </w:rPr>
              <w:t xml:space="preserve"> Pecs,</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live marking and assessment to celebrate success and to respond to misconceptions during the sessions.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Providing feedback is well-evidenced and </w:t>
            </w:r>
            <w:r w:rsidDel="00000000" w:rsidR="00000000" w:rsidRPr="00000000">
              <w:rPr>
                <w:rtl w:val="0"/>
              </w:rPr>
              <w:t xml:space="preserve">has a high</w:t>
            </w: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tl w:val="0"/>
              </w:rPr>
              <w:t xml:space="preserve"> impact on learning outcomes. It tends to focus on the task, subject and self-regulation strategies: it provides specific information on how to improve. Impacts are highest when feedback is delivered by teachers. Studies of verbal feedback show slightly higher impacts overall (+7 months). https://educationendowmentfoundation.org .uk/education-evidence/teaching-learningtoolkit/feedback</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pStyle w:val="Heading3"/>
        <w:rPr/>
      </w:pPr>
      <w:r w:rsidDel="00000000" w:rsidR="00000000" w:rsidRPr="00000000">
        <w:rPr>
          <w:rtl w:val="0"/>
        </w:rPr>
        <w:t xml:space="preserve">Targeted academic support (for example, tutoring, one-to-one support, structured interventions) </w:t>
      </w:r>
    </w:p>
    <w:p w:rsidR="00000000" w:rsidDel="00000000" w:rsidP="00000000" w:rsidRDefault="00000000" w:rsidRPr="00000000" w14:paraId="0000008A">
      <w:pPr>
        <w:rPr/>
      </w:pPr>
      <w:r w:rsidDel="00000000" w:rsidR="00000000" w:rsidRPr="00000000">
        <w:rPr>
          <w:rtl w:val="0"/>
        </w:rPr>
        <w:t xml:space="preserve">Budgeted cost: £22,500</w:t>
      </w:r>
    </w:p>
    <w:tbl>
      <w:tblPr>
        <w:tblStyle w:val="Table7"/>
        <w:tblW w:w="10456.0" w:type="dxa"/>
        <w:jc w:val="left"/>
        <w:tblLayout w:type="fixed"/>
        <w:tblLook w:val="0400"/>
      </w:tblPr>
      <w:tblGrid>
        <w:gridCol w:w="2963"/>
        <w:gridCol w:w="4689"/>
        <w:gridCol w:w="2804"/>
        <w:tblGridChange w:id="0">
          <w:tblGrid>
            <w:gridCol w:w="2963"/>
            <w:gridCol w:w="4689"/>
            <w:gridCol w:w="28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t xml:space="preserve">Heacham Junior School will further develop its speaking/reading/phonic strategy with support from RWInc specialist and the West Norfolk Academies Trust SEND team to ensure all children can learn to read and read to learn. This will ensure that no child is left behind, including the lowest 20%, raising achievement for all. Teachers and TAs receive training and coaching to follow a structured programme and precision teach to pupil gaps through KS2 on a daily basis through Read Write Inc. intervention and Read Write Inc Fresh Start. Parents will be provided with information, training and support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8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Phonics has a positive impact overall (+5 months) with very extensive evidence and is an important component in the development of early reading skills, particularly for children from disadvantaged backgrounds. If an older reader is struggling with decoding, phonics approaches will still be appropriate. https://educationendowmentfoundation.org .uk/education-evidence/teaching-learningtoolkit/phonics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1,2,4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2"/>
                <w:szCs w:val="22"/>
                <w:u w:val="none"/>
                <w:shd w:fill="auto" w:val="clear"/>
                <w:vertAlign w:val="baseline"/>
              </w:rPr>
            </w:pPr>
            <w:r w:rsidDel="00000000" w:rsidR="00000000" w:rsidRPr="00000000">
              <w:rPr>
                <w:sz w:val="22"/>
                <w:szCs w:val="22"/>
                <w:rtl w:val="0"/>
              </w:rPr>
              <w:t xml:space="preserve">Pupils at Heacham Junior School will benefit from small group, school led tuition. Precision teaching to  fill  pupil gaps.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On average, one to one tuition is very effective at improving pupil outcomes. One to one tuition might be an effective strategy for providing targeted support for pupils that are identified as having low prior attainment or are struggling in particular areas. Research which focuses on teaching assistants who provide one to one or small group targeted interventions shows a stronger positive benefit of between four and six additional months on average. In some cases one to one tuition has led to greater improvement, while in others tuition in groups of two or three has been equally or even more effective. https://educationendowmentfoundation.org .uk/education-evidence/teaching-learningtoolkit/teaching-assistant-interventions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1, 2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All pupils to benefit from support in learning multiplication tables. Use of precision teaching, promoting across year groups and use of Times Table Rockstars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Repeated systematic practice of times tables is effective and this declarative knowledge serves as a building block for procedural knowledge. This process is the key to making the retrieval of basic times tables facts fluent for pupil. (Hasselbring, Lott &amp; Zydney, 2005) https://www.cambridgemaths.org/images/ espresso_1_learning_and_assessing_tim es_tables.pdf</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Booster clubs/ sessions primarily for disadvantaged pupils in Reading, Writing, GPS and Maths.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EEF suggests that before and after school programmes with a clear structure, a strong link to the curriculum, and well-qualified and well-trained staff are more clearly linked to academic benefits than any other types of extended provision. Impact +3 months. https://educationendowmentfoundation.or g.uk/education-evidence/teachinglearning-toolkit/extending-school-time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1,2</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Utilise teaching assistants to develop targeted writing intervention and support in class (composition, grammar and spelling) working with the guidance and support of the English Lead</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The average impact of the deployment of teaching assistants is about an additional four months’ progress over the course of a year. https://educationendowmentfoundation.or g.uk/education-evidence/guidancereports/teaching-assistants John Hattie’s Visible Learning – high effect size in relation to response to intervention. https://visible-learning.org/hattie-rankinginfluences-effect-sizes-learningachievement/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1, 2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rtl w:val="0"/>
              </w:rPr>
            </w:r>
          </w:p>
        </w:tc>
      </w:tr>
    </w:tbl>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pStyle w:val="Heading3"/>
        <w:rPr/>
      </w:pPr>
      <w:r w:rsidDel="00000000" w:rsidR="00000000" w:rsidRPr="00000000">
        <w:rPr>
          <w:rtl w:val="0"/>
        </w:rPr>
        <w:t xml:space="preserve">Wider strategies (for example, related to attendance, behaviour, wellbeing)</w:t>
      </w:r>
    </w:p>
    <w:p w:rsidR="00000000" w:rsidDel="00000000" w:rsidP="00000000" w:rsidRDefault="00000000" w:rsidRPr="00000000" w14:paraId="000000A2">
      <w:pPr>
        <w:spacing w:after="120" w:before="240" w:lineRule="auto"/>
        <w:rPr/>
      </w:pPr>
      <w:r w:rsidDel="00000000" w:rsidR="00000000" w:rsidRPr="00000000">
        <w:rPr>
          <w:rtl w:val="0"/>
        </w:rPr>
        <w:t xml:space="preserve">Budgeted cost: £15,450 </w:t>
      </w:r>
    </w:p>
    <w:tbl>
      <w:tblPr>
        <w:tblStyle w:val="Table8"/>
        <w:tblW w:w="10456.0" w:type="dxa"/>
        <w:jc w:val="left"/>
        <w:tblLayout w:type="fixed"/>
        <w:tblLook w:val="0400"/>
      </w:tblPr>
      <w:tblGrid>
        <w:gridCol w:w="2963"/>
        <w:gridCol w:w="4689"/>
        <w:gridCol w:w="2804"/>
        <w:tblGridChange w:id="0">
          <w:tblGrid>
            <w:gridCol w:w="2963"/>
            <w:gridCol w:w="4689"/>
            <w:gridCol w:w="28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Activity</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Evidence that supports this approach</w:t>
            </w:r>
          </w:p>
        </w:tc>
        <w:tc>
          <w:tcPr>
            <w:tcBorders>
              <w:top w:color="000000" w:space="0" w:sz="4" w:val="single"/>
              <w:left w:color="000000" w:space="0" w:sz="4" w:val="single"/>
              <w:bottom w:color="000000" w:space="0" w:sz="4" w:val="single"/>
              <w:right w:color="000000" w:space="0" w:sz="4" w:val="single"/>
            </w:tcBorders>
            <w:shd w:fill="cfdce3" w:val="clear"/>
            <w:tcMar>
              <w:top w:w="0.0" w:type="dxa"/>
              <w:left w:w="108.0" w:type="dxa"/>
              <w:bottom w:w="0.0" w:type="dxa"/>
              <w:right w:w="108.0" w:type="dxa"/>
            </w:tcMar>
          </w:tcPr>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1"/>
                <w:bCs w:val="1"/>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d0d0d"/>
                <w:sz w:val="24"/>
                <w:szCs w:val="24"/>
                <w:u w:val="none"/>
                <w:shd w:fill="auto" w:val="clear"/>
                <w:vertAlign w:val="baseline"/>
                <w:rtl w:val="0"/>
              </w:rPr>
              <w:t xml:space="preserve">Challenge number(s) addressed</w:t>
            </w:r>
          </w:p>
        </w:tc>
      </w:tr>
      <w:tr>
        <w:trPr>
          <w:cantSplit w:val="0"/>
          <w:trHeight w:val="2917.763671875"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4"/>
                <w:szCs w:val="24"/>
                <w:u w:val="none"/>
                <w:shd w:fill="auto" w:val="clear"/>
                <w:vertAlign w:val="baseline"/>
              </w:rPr>
            </w:pPr>
            <w:r w:rsidDel="00000000" w:rsidR="00000000" w:rsidRPr="00000000">
              <w:rPr>
                <w:sz w:val="22"/>
                <w:szCs w:val="22"/>
                <w:rtl w:val="0"/>
              </w:rPr>
              <w:t xml:space="preserve">Further enhance social and emotional provision through the recruitment of our pastoral and attendance practitioner. Continue to fully utilise creative and outdoor provision to support increased confidence, mental health for targeted pupils so they are ready to learn in the classroom.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smallCaps w:val="0"/>
                <w:strike w:val="0"/>
                <w:color w:val="0d0d0d"/>
                <w:sz w:val="22"/>
                <w:szCs w:val="22"/>
                <w:u w:val="none"/>
                <w:shd w:fill="auto" w:val="clear"/>
                <w:vertAlign w:val="baseline"/>
              </w:rPr>
            </w:pPr>
            <w:r w:rsidDel="00000000" w:rsidR="00000000" w:rsidRPr="00000000">
              <w:rPr>
                <w:sz w:val="22"/>
                <w:szCs w:val="22"/>
                <w:rtl w:val="0"/>
              </w:rPr>
              <w:t xml:space="preserve">Social and emotional learning approaches have a positive impact, on average, of 4 months’ additional progress in academic outcomes over the course of an academic year. https://educationendowmentfoundation.org.uk/ education-evidence/teaching-learningtoolkit/social-and-emotional-learning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Maintain good links with agencies to support families and pupils, including: </w:t>
            </w:r>
          </w:p>
          <w:p w:rsidR="00000000" w:rsidDel="00000000" w:rsidP="00000000" w:rsidRDefault="00000000" w:rsidRPr="00000000" w14:paraId="000000AA">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Community and Partnership Team, Early Help and the SEMH Team, NCC SEND and Inclusion Team and specialist resource bases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EEF research suggests that interventions which focus on improving social interaction tend to be more successful (+6 months) than those focusing on personal and academic outcomes (+4 months) or those aimed at preventing problematic behaviour (+5 months).</w:t>
            </w:r>
          </w:p>
          <w:p w:rsidR="00000000" w:rsidDel="00000000" w:rsidP="00000000" w:rsidRDefault="00000000" w:rsidRPr="00000000" w14:paraId="000000A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https://educationendowmentfoundation.org.uk/education-evidence/teaching-learning-toolkit/social-and-emotional-learning</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i w:val="1"/>
                <w:iCs w:val="1"/>
                <w:sz w:val="22"/>
                <w:szCs w:val="22"/>
              </w:rPr>
            </w:pPr>
            <w:r w:rsidDel="00000000" w:rsidR="00000000" w:rsidRPr="00000000">
              <w:rPr>
                <w:sz w:val="22"/>
                <w:szCs w:val="22"/>
                <w:rtl w:val="0"/>
              </w:rPr>
              <w:t xml:space="preserve">At Heacham we will build on our curriculum with additional strategies to broaden pupil access to careers via Gatsby benchmarks, culture and diversity, raising aspirations and developing economic awareness in line with non-disadvantaged pupils. This ensures that enrichment is maximised. Drop in/breakfast club, Music Tuition Trips/Visits, Arts participation, Extracurricular clubs, Boosters, Sports events, Apprenticeship Day, Brilliant Club/ Scholars Programme</w:t>
            </w:r>
            <w:r w:rsidDel="00000000" w:rsidR="00000000" w:rsidRPr="00000000">
              <w:rPr>
                <w:i w:val="1"/>
                <w:iCs w:val="1"/>
                <w:sz w:val="22"/>
                <w:szCs w:val="22"/>
                <w:rtl w:val="0"/>
              </w:rPr>
              <w:t xml:space="preserve">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A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Physical activity has important benefits in terms of health, wellbeing and physical development. There is some evidence that involvement in extra-curricular sporting activities may increase pupil attendance and retention (+3 months). https://educationendowmentfoundation.org.uk/ education-evidence/teaching-learningtoolkit/extending-school-time Arts participation is defined as involvement in artistic and creative activities, such as dance, drama, music, painting, or sculpture. It can occur either as part of the curriculum or as extra-curricular activity. Arts participation can have a positive impact on academic outcomes in other areas of the curriculum. (+3 months). https://educationendowmentfoundation.org.uk/ education-evidence/teaching-learningtoolkit/arts-participation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3,4,5</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Ensure support is available for families in crisis. School led EHAP, Early Help Referral Help Hub ECFS Signposting, e.g. Just One Number Parenting programmes, e.g. Triple P, Solihull, Freedom Programme and Circle of Security</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2">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Parental engagement has a positive impact on average +4 months additional progress. It is crucial to consider how to engage with all parents to avoid widening attainment gaps. https://educationendowmentfoundation.org.uk/ education-evidence/teaching-learningtoolkit/parental-engagement Triple P can lead to improvements in children’s behaviour. It is believed that strategies within the programme could lead to improvements in children’s language development. https://educationendowmentfoundation.org.uk/ projects-and-evaluation/projects/level-4-grouptriple-p-positive-parenting-program</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3">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1,2,3,4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Continued targeted provision/early intervention in place for vulnerable pupils to support with mental health and wellbeing. This fosters relationships and ensures that pupils are ready to learn. Promoting</w:t>
            </w:r>
          </w:p>
          <w:p w:rsidR="00000000" w:rsidDel="00000000" w:rsidP="00000000" w:rsidRDefault="00000000" w:rsidRPr="00000000" w14:paraId="000000B5">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Nurture Space/Elsa</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Mental Health MHST</w:t>
            </w:r>
          </w:p>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Domestic Abuse Champion </w:t>
            </w:r>
          </w:p>
          <w:p w:rsidR="00000000" w:rsidDel="00000000" w:rsidP="00000000" w:rsidRDefault="00000000" w:rsidRPr="00000000" w14:paraId="000000B8">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Anna Freud Wellbeing </w:t>
            </w:r>
          </w:p>
          <w:p w:rsidR="00000000" w:rsidDel="00000000" w:rsidP="00000000" w:rsidRDefault="00000000" w:rsidRPr="00000000" w14:paraId="000000B9">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Jigsaw Curriculum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A">
            <w:pPr>
              <w:spacing w:after="60" w:before="60" w:line="240" w:lineRule="auto"/>
              <w:rPr>
                <w:sz w:val="22"/>
                <w:szCs w:val="22"/>
              </w:rPr>
            </w:pPr>
            <w:r w:rsidDel="00000000" w:rsidR="00000000" w:rsidRPr="00000000">
              <w:rPr>
                <w:sz w:val="22"/>
                <w:szCs w:val="22"/>
                <w:rtl w:val="0"/>
              </w:rPr>
              <w:t xml:space="preserve"> EEF suggests that effective social and emotional learning (SEL) can increase positive pupil behaviour, mental health and well-being, and academic performance. https://educationendowmentfoundation.org.uk/ news/prioritise-social-and-emotional-learning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B">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3,11</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C">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Effectively promote parental engagement in learning via regular workshops in school, and develop further through Class Dojo, Twitter, newsletters and the school website. Promote Learning with Parents</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Parental engagement has a positive impact on average +4 months additional progress. It is crucial to consider how to engage with all parents to avoid widening attainment gaps. https://educationendowmentfoundation.org.uk/ education-evidence/teaching-learningtoolkit/parental-engagement </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E">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4</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BF">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The monitoring of attendance will follow the EEFs 6 evidence based themes as outlined in the evidence based research. Pastoral and Attendance Lead supported by SLT. Early Intervention will be put in place as required in line with NCC guidance.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sz w:val="22"/>
                <w:szCs w:val="22"/>
              </w:rPr>
            </w:pPr>
            <w:r w:rsidDel="00000000" w:rsidR="00000000" w:rsidRPr="00000000">
              <w:rPr>
                <w:sz w:val="22"/>
                <w:szCs w:val="22"/>
                <w:rtl w:val="0"/>
              </w:rPr>
              <w:t xml:space="preserve">The EEF suggest that improving attendance requires different approaches in different contexts. They state that there are, however, some common overarching principles that can inform attendance strategies. (6 evidence based strategies). 1.Build a holistic understanding of pupils and families, and diagnose specific needs.2.Build a culture of community and belonging for pupils3.Communicate effectively with families4.Improve universal provision for all pupils5.Deliver targeted interventions to supplement universal provision6.Monitor the impact of approaches https://educationendowmentfoundation.org.uk/ education-evidence/leadership-andplanning/supporting-attendance</w:t>
            </w:r>
          </w:p>
        </w:tc>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60" w:before="60" w:line="240" w:lineRule="auto"/>
              <w:ind w:left="0" w:right="0" w:firstLine="0"/>
              <w:jc w:val="left"/>
              <w:rPr>
                <w:rFonts w:ascii="Arial" w:cs="Arial" w:eastAsia="Arial" w:hAnsi="Arial"/>
                <w:b w:val="0"/>
                <w:bCs w:val="0"/>
                <w:i w:val="0"/>
                <w:iCs w:val="0"/>
                <w:smallCaps w:val="0"/>
                <w:strike w:val="0"/>
                <w:color w:val="0d0d0d"/>
                <w:sz w:val="22"/>
                <w:szCs w:val="22"/>
                <w:u w:val="none"/>
                <w:shd w:fill="auto" w:val="clear"/>
                <w:vertAlign w:val="baseline"/>
              </w:rPr>
            </w:pPr>
            <w:r w:rsidDel="00000000" w:rsidR="00000000" w:rsidRPr="00000000">
              <w:rPr>
                <w:sz w:val="22"/>
                <w:szCs w:val="22"/>
                <w:rtl w:val="0"/>
              </w:rPr>
              <w:t xml:space="preserve">3,4,5</w:t>
            </w:r>
            <w:r w:rsidDel="00000000" w:rsidR="00000000" w:rsidRPr="00000000">
              <w:rPr>
                <w:rtl w:val="0"/>
              </w:rPr>
            </w:r>
          </w:p>
        </w:tc>
      </w:tr>
    </w:tbl>
    <w:p w:rsidR="00000000" w:rsidDel="00000000" w:rsidP="00000000" w:rsidRDefault="00000000" w:rsidRPr="00000000" w14:paraId="000000C2">
      <w:pPr>
        <w:pStyle w:val="Heading1"/>
        <w:rPr>
          <w:sz w:val="32"/>
          <w:szCs w:val="32"/>
        </w:rPr>
      </w:pPr>
      <w:bookmarkStart w:colFirst="0" w:colLast="0" w:name="_heading=h.umx6h8y8ete" w:id="3"/>
      <w:bookmarkEnd w:id="3"/>
      <w:r w:rsidDel="00000000" w:rsidR="00000000" w:rsidRPr="00000000">
        <w:rPr>
          <w:sz w:val="32"/>
          <w:szCs w:val="32"/>
          <w:rtl w:val="0"/>
        </w:rPr>
        <w:t xml:space="preserve">Review of outcomes </w:t>
      </w:r>
    </w:p>
    <w:p w:rsidR="00000000" w:rsidDel="00000000" w:rsidP="00000000" w:rsidRDefault="00000000" w:rsidRPr="00000000" w14:paraId="000000C3">
      <w:pPr>
        <w:rPr>
          <w:color w:val="ff0000"/>
        </w:rPr>
      </w:pPr>
      <w:r w:rsidDel="00000000" w:rsidR="00000000" w:rsidRPr="00000000">
        <w:rPr>
          <w:rtl w:val="0"/>
        </w:rPr>
        <w:t xml:space="preserve">This details the impact that our pupil premium activity had on pupils in the 2024 to 2025 academic year. </w:t>
      </w:r>
      <w:r w:rsidDel="00000000" w:rsidR="00000000" w:rsidRPr="00000000">
        <w:rPr>
          <w:rtl w:val="0"/>
        </w:rPr>
      </w:r>
    </w:p>
    <w:tbl>
      <w:tblPr>
        <w:tblStyle w:val="Table9"/>
        <w:tblW w:w="9776.0" w:type="dxa"/>
        <w:jc w:val="left"/>
        <w:tblLayout w:type="fixed"/>
        <w:tblLook w:val="0400"/>
      </w:tblPr>
      <w:tblGrid>
        <w:gridCol w:w="9776"/>
        <w:tblGridChange w:id="0">
          <w:tblGrid>
            <w:gridCol w:w="9776"/>
          </w:tblGrid>
        </w:tblGridChange>
      </w:tblGrid>
      <w:tr>
        <w:trPr>
          <w:cantSplit w:val="0"/>
          <w:trHeight w:val="1102" w:hRule="atLeast"/>
          <w:tblHeader w:val="0"/>
        </w:trPr>
        <w:tc>
          <w:tcPr>
            <w:tcBorders>
              <w:top w:color="000000" w:space="0" w:sz="4" w:val="single"/>
              <w:left w:color="000000" w:space="0" w:sz="4" w:val="single"/>
              <w:bottom w:color="000000" w:space="0" w:sz="4" w:val="single"/>
              <w:right w:color="000000" w:space="0" w:sz="4" w:val="single"/>
            </w:tcBorders>
            <w:shd w:fill="auto" w:val="clear"/>
            <w:tcMar>
              <w:top w:w="0.0" w:type="dxa"/>
              <w:left w:w="108.0" w:type="dxa"/>
              <w:bottom w:w="0.0" w:type="dxa"/>
              <w:right w:w="108.0" w:type="dxa"/>
            </w:tcMar>
          </w:tcPr>
          <w:p w:rsidR="00000000" w:rsidDel="00000000" w:rsidP="00000000" w:rsidRDefault="00000000" w:rsidRPr="00000000" w14:paraId="000000C4">
            <w:pPr>
              <w:widowControl w:val="0"/>
              <w:tabs>
                <w:tab w:val="left" w:leader="none" w:pos="0"/>
              </w:tabs>
              <w:spacing w:after="0" w:line="240" w:lineRule="auto"/>
              <w:rPr>
                <w:color w:val="000000"/>
              </w:rPr>
            </w:pPr>
            <w:r w:rsidDel="00000000" w:rsidR="00000000" w:rsidRPr="00000000">
              <w:rPr>
                <w:b w:val="1"/>
                <w:bCs w:val="1"/>
                <w:rtl w:val="0"/>
              </w:rPr>
              <w:t xml:space="preserve">Children to achieve national expectations in progress and attainment - </w:t>
            </w:r>
            <w:r w:rsidDel="00000000" w:rsidR="00000000" w:rsidRPr="00000000">
              <w:rPr>
                <w:color w:val="000000"/>
                <w:rtl w:val="0"/>
              </w:rPr>
              <w:t xml:space="preserve">Outcomes for pupils in Y6 in 2025 were broadly in line with national averages with 57% of all pupils attaining RWM and 3% GDS. Two pupils will be taken out of this data set as they joined the school in May (just before the assessment week) - one having recently arrived from a different country and another having been missing from education.</w:t>
            </w:r>
          </w:p>
          <w:p w:rsidR="00000000" w:rsidDel="00000000" w:rsidP="00000000" w:rsidRDefault="00000000" w:rsidRPr="00000000" w14:paraId="000000C5">
            <w:pPr>
              <w:widowControl w:val="0"/>
              <w:tabs>
                <w:tab w:val="left" w:leader="none" w:pos="0"/>
              </w:tabs>
              <w:spacing w:after="0" w:line="240" w:lineRule="auto"/>
              <w:rPr>
                <w:color w:val="ff0000"/>
              </w:rPr>
            </w:pPr>
            <w:r w:rsidDel="00000000" w:rsidR="00000000" w:rsidRPr="00000000">
              <w:rPr>
                <w:rtl w:val="0"/>
              </w:rPr>
            </w:r>
          </w:p>
          <w:tbl>
            <w:tblPr>
              <w:tblStyle w:val="Table10"/>
              <w:tblW w:w="88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35"/>
              <w:gridCol w:w="1842"/>
              <w:gridCol w:w="1843"/>
              <w:gridCol w:w="1843"/>
              <w:gridCol w:w="1843"/>
              <w:tblGridChange w:id="0">
                <w:tblGrid>
                  <w:gridCol w:w="1435"/>
                  <w:gridCol w:w="1842"/>
                  <w:gridCol w:w="1843"/>
                  <w:gridCol w:w="1843"/>
                  <w:gridCol w:w="1843"/>
                </w:tblGrid>
              </w:tblGridChange>
            </w:tblGrid>
            <w:tr>
              <w:trPr>
                <w:cantSplit w:val="0"/>
                <w:trHeight w:val="256" w:hRule="atLeast"/>
                <w:tblHeader w:val="0"/>
              </w:trPr>
              <w:tc>
                <w:tcPr/>
                <w:p w:rsidR="00000000" w:rsidDel="00000000" w:rsidP="00000000" w:rsidRDefault="00000000" w:rsidRPr="00000000" w14:paraId="000000C6">
                  <w:pPr>
                    <w:tabs>
                      <w:tab w:val="left" w:leader="none" w:pos="0"/>
                    </w:tabs>
                    <w:rPr>
                      <w:color w:val="ff0000"/>
                      <w:sz w:val="22"/>
                      <w:szCs w:val="22"/>
                    </w:rPr>
                  </w:pPr>
                  <w:r w:rsidDel="00000000" w:rsidR="00000000" w:rsidRPr="00000000">
                    <w:rPr>
                      <w:sz w:val="22"/>
                      <w:szCs w:val="22"/>
                      <w:rtl w:val="0"/>
                    </w:rPr>
                    <w:t xml:space="preserve">All Pupils (11) </w:t>
                  </w:r>
                  <w:r w:rsidDel="00000000" w:rsidR="00000000" w:rsidRPr="00000000">
                    <w:rPr>
                      <w:rtl w:val="0"/>
                    </w:rPr>
                  </w:r>
                </w:p>
              </w:tc>
              <w:tc>
                <w:tcPr/>
                <w:p w:rsidR="00000000" w:rsidDel="00000000" w:rsidP="00000000" w:rsidRDefault="00000000" w:rsidRPr="00000000" w14:paraId="000000C7">
                  <w:pPr>
                    <w:tabs>
                      <w:tab w:val="left" w:leader="none" w:pos="0"/>
                    </w:tabs>
                    <w:rPr>
                      <w:color w:val="000000"/>
                      <w:sz w:val="22"/>
                      <w:szCs w:val="22"/>
                    </w:rPr>
                  </w:pPr>
                  <w:r w:rsidDel="00000000" w:rsidR="00000000" w:rsidRPr="00000000">
                    <w:rPr>
                      <w:color w:val="000000"/>
                      <w:sz w:val="22"/>
                      <w:szCs w:val="22"/>
                      <w:rtl w:val="0"/>
                    </w:rPr>
                    <w:t xml:space="preserve">Read (NA)  %</w:t>
                  </w:r>
                </w:p>
              </w:tc>
              <w:tc>
                <w:tcPr/>
                <w:p w:rsidR="00000000" w:rsidDel="00000000" w:rsidP="00000000" w:rsidRDefault="00000000" w:rsidRPr="00000000" w14:paraId="000000C8">
                  <w:pPr>
                    <w:tabs>
                      <w:tab w:val="left" w:leader="none" w:pos="0"/>
                    </w:tabs>
                    <w:rPr>
                      <w:color w:val="000000"/>
                      <w:sz w:val="22"/>
                      <w:szCs w:val="22"/>
                    </w:rPr>
                  </w:pPr>
                  <w:r w:rsidDel="00000000" w:rsidR="00000000" w:rsidRPr="00000000">
                    <w:rPr>
                      <w:color w:val="000000"/>
                      <w:sz w:val="22"/>
                      <w:szCs w:val="22"/>
                      <w:rtl w:val="0"/>
                    </w:rPr>
                    <w:t xml:space="preserve">Write (NA)  %</w:t>
                  </w:r>
                </w:p>
              </w:tc>
              <w:tc>
                <w:tcPr/>
                <w:p w:rsidR="00000000" w:rsidDel="00000000" w:rsidP="00000000" w:rsidRDefault="00000000" w:rsidRPr="00000000" w14:paraId="000000C9">
                  <w:pPr>
                    <w:tabs>
                      <w:tab w:val="left" w:leader="none" w:pos="0"/>
                    </w:tabs>
                    <w:rPr>
                      <w:color w:val="000000"/>
                      <w:sz w:val="22"/>
                      <w:szCs w:val="22"/>
                    </w:rPr>
                  </w:pPr>
                  <w:r w:rsidDel="00000000" w:rsidR="00000000" w:rsidRPr="00000000">
                    <w:rPr>
                      <w:color w:val="000000"/>
                      <w:sz w:val="22"/>
                      <w:szCs w:val="22"/>
                      <w:rtl w:val="0"/>
                    </w:rPr>
                    <w:t xml:space="preserve">Maths (NA)  %</w:t>
                  </w:r>
                </w:p>
              </w:tc>
              <w:tc>
                <w:tcPr/>
                <w:p w:rsidR="00000000" w:rsidDel="00000000" w:rsidP="00000000" w:rsidRDefault="00000000" w:rsidRPr="00000000" w14:paraId="000000CA">
                  <w:pPr>
                    <w:tabs>
                      <w:tab w:val="left" w:leader="none" w:pos="0"/>
                    </w:tabs>
                    <w:rPr>
                      <w:color w:val="000000"/>
                      <w:sz w:val="22"/>
                      <w:szCs w:val="22"/>
                    </w:rPr>
                  </w:pPr>
                  <w:r w:rsidDel="00000000" w:rsidR="00000000" w:rsidRPr="00000000">
                    <w:rPr>
                      <w:color w:val="000000"/>
                      <w:sz w:val="22"/>
                      <w:szCs w:val="22"/>
                      <w:rtl w:val="0"/>
                    </w:rPr>
                    <w:t xml:space="preserve">RWM (NA)  %</w:t>
                  </w:r>
                </w:p>
              </w:tc>
            </w:tr>
            <w:tr>
              <w:trPr>
                <w:cantSplit w:val="0"/>
                <w:trHeight w:val="256" w:hRule="atLeast"/>
                <w:tblHeader w:val="0"/>
              </w:trPr>
              <w:tc>
                <w:tcPr/>
                <w:p w:rsidR="00000000" w:rsidDel="00000000" w:rsidP="00000000" w:rsidRDefault="00000000" w:rsidRPr="00000000" w14:paraId="000000CB">
                  <w:pPr>
                    <w:tabs>
                      <w:tab w:val="left" w:leader="none" w:pos="0"/>
                    </w:tabs>
                    <w:rPr>
                      <w:color w:val="ff0000"/>
                      <w:sz w:val="22"/>
                      <w:szCs w:val="22"/>
                    </w:rPr>
                  </w:pPr>
                  <w:r w:rsidDel="00000000" w:rsidR="00000000" w:rsidRPr="00000000">
                    <w:rPr>
                      <w:sz w:val="22"/>
                      <w:szCs w:val="22"/>
                      <w:rtl w:val="0"/>
                    </w:rPr>
                    <w:t xml:space="preserve">EXS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CC">
                  <w:pPr>
                    <w:spacing w:after="0" w:line="240" w:lineRule="auto"/>
                    <w:rPr>
                      <w:color w:val="000000"/>
                    </w:rPr>
                  </w:pPr>
                  <w:r w:rsidDel="00000000" w:rsidR="00000000" w:rsidRPr="00000000">
                    <w:rPr>
                      <w:color w:val="000000"/>
                      <w:rtl w:val="0"/>
                    </w:rPr>
                    <w:t xml:space="preserve">70 (75)</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CD">
                  <w:pPr>
                    <w:spacing w:after="0" w:line="240" w:lineRule="auto"/>
                    <w:rPr>
                      <w:color w:val="000000"/>
                    </w:rPr>
                  </w:pPr>
                  <w:r w:rsidDel="00000000" w:rsidR="00000000" w:rsidRPr="00000000">
                    <w:rPr>
                      <w:color w:val="000000"/>
                      <w:rtl w:val="0"/>
                    </w:rPr>
                    <w:t xml:space="preserve">73(73)</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CE">
                  <w:pPr>
                    <w:spacing w:after="0" w:line="240" w:lineRule="auto"/>
                    <w:rPr>
                      <w:color w:val="000000"/>
                    </w:rPr>
                  </w:pPr>
                  <w:r w:rsidDel="00000000" w:rsidR="00000000" w:rsidRPr="00000000">
                    <w:rPr>
                      <w:color w:val="000000"/>
                      <w:rtl w:val="0"/>
                    </w:rPr>
                    <w:t xml:space="preserve">63 (74)</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CF">
                  <w:pPr>
                    <w:spacing w:after="0" w:line="240" w:lineRule="auto"/>
                    <w:rPr>
                      <w:color w:val="000000"/>
                    </w:rPr>
                  </w:pPr>
                  <w:r w:rsidDel="00000000" w:rsidR="00000000" w:rsidRPr="00000000">
                    <w:rPr>
                      <w:color w:val="000000"/>
                      <w:rtl w:val="0"/>
                    </w:rPr>
                    <w:t xml:space="preserve">57 (62)</w:t>
                  </w:r>
                </w:p>
              </w:tc>
            </w:tr>
            <w:tr>
              <w:trPr>
                <w:cantSplit w:val="0"/>
                <w:trHeight w:val="256" w:hRule="atLeast"/>
                <w:tblHeader w:val="0"/>
              </w:trPr>
              <w:tc>
                <w:tcPr/>
                <w:p w:rsidR="00000000" w:rsidDel="00000000" w:rsidP="00000000" w:rsidRDefault="00000000" w:rsidRPr="00000000" w14:paraId="000000D0">
                  <w:pPr>
                    <w:tabs>
                      <w:tab w:val="left" w:leader="none" w:pos="0"/>
                    </w:tabs>
                    <w:rPr>
                      <w:sz w:val="22"/>
                      <w:szCs w:val="22"/>
                    </w:rPr>
                  </w:pPr>
                  <w:r w:rsidDel="00000000" w:rsidR="00000000" w:rsidRPr="00000000">
                    <w:rPr>
                      <w:sz w:val="22"/>
                      <w:szCs w:val="22"/>
                      <w:rtl w:val="0"/>
                    </w:rPr>
                    <w:t xml:space="preserve">EXS PP (9)</w:t>
                  </w:r>
                </w:p>
                <w:p w:rsidR="00000000" w:rsidDel="00000000" w:rsidP="00000000" w:rsidRDefault="00000000" w:rsidRPr="00000000" w14:paraId="000000D1">
                  <w:pPr>
                    <w:tabs>
                      <w:tab w:val="left" w:leader="none" w:pos="0"/>
                    </w:tabs>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D2">
                  <w:pPr>
                    <w:spacing w:after="0" w:line="240" w:lineRule="auto"/>
                    <w:rPr>
                      <w:color w:val="000000"/>
                    </w:rPr>
                  </w:pPr>
                  <w:r w:rsidDel="00000000" w:rsidR="00000000" w:rsidRPr="00000000">
                    <w:rPr>
                      <w:color w:val="000000"/>
                      <w:rtl w:val="0"/>
                    </w:rPr>
                    <w:t xml:space="preserve">56</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D3">
                  <w:pPr>
                    <w:spacing w:after="0" w:line="240" w:lineRule="auto"/>
                    <w:rPr>
                      <w:color w:val="000000"/>
                    </w:rPr>
                  </w:pPr>
                  <w:r w:rsidDel="00000000" w:rsidR="00000000" w:rsidRPr="00000000">
                    <w:rPr>
                      <w:color w:val="000000"/>
                      <w:rtl w:val="0"/>
                    </w:rPr>
                    <w:t xml:space="preserve">56</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D4">
                  <w:pPr>
                    <w:spacing w:after="0" w:line="240" w:lineRule="auto"/>
                    <w:rPr>
                      <w:color w:val="000000"/>
                    </w:rPr>
                  </w:pPr>
                  <w:r w:rsidDel="00000000" w:rsidR="00000000" w:rsidRPr="00000000">
                    <w:rPr>
                      <w:color w:val="000000"/>
                      <w:rtl w:val="0"/>
                    </w:rPr>
                    <w:t xml:space="preserve">44</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D5">
                  <w:pPr>
                    <w:spacing w:after="0" w:line="240" w:lineRule="auto"/>
                    <w:rPr>
                      <w:color w:val="000000"/>
                    </w:rPr>
                  </w:pPr>
                  <w:r w:rsidDel="00000000" w:rsidR="00000000" w:rsidRPr="00000000">
                    <w:rPr>
                      <w:color w:val="000000"/>
                      <w:rtl w:val="0"/>
                    </w:rPr>
                    <w:t xml:space="preserve">33</w:t>
                  </w:r>
                </w:p>
              </w:tc>
            </w:tr>
            <w:tr>
              <w:trPr>
                <w:cantSplit w:val="0"/>
                <w:trHeight w:val="256" w:hRule="atLeast"/>
                <w:tblHeader w:val="0"/>
              </w:trPr>
              <w:tc>
                <w:tcPr/>
                <w:p w:rsidR="00000000" w:rsidDel="00000000" w:rsidP="00000000" w:rsidRDefault="00000000" w:rsidRPr="00000000" w14:paraId="000000D6">
                  <w:pPr>
                    <w:tabs>
                      <w:tab w:val="left" w:leader="none" w:pos="0"/>
                    </w:tabs>
                    <w:rPr>
                      <w:sz w:val="22"/>
                      <w:szCs w:val="22"/>
                    </w:rPr>
                  </w:pPr>
                  <w:r w:rsidDel="00000000" w:rsidR="00000000" w:rsidRPr="00000000">
                    <w:rPr>
                      <w:sz w:val="22"/>
                      <w:szCs w:val="22"/>
                      <w:rtl w:val="0"/>
                    </w:rPr>
                    <w:t xml:space="preserve">GDS</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D7">
                  <w:pPr>
                    <w:spacing w:after="0" w:line="240" w:lineRule="auto"/>
                    <w:rPr>
                      <w:color w:val="000000"/>
                    </w:rPr>
                  </w:pPr>
                  <w:r w:rsidDel="00000000" w:rsidR="00000000" w:rsidRPr="00000000">
                    <w:rPr>
                      <w:color w:val="000000"/>
                      <w:rtl w:val="0"/>
                    </w:rPr>
                    <w:t xml:space="preserve">30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D8">
                  <w:pPr>
                    <w:spacing w:after="0" w:line="240" w:lineRule="auto"/>
                    <w:rPr>
                      <w:color w:val="000000"/>
                    </w:rPr>
                  </w:pPr>
                  <w:r w:rsidDel="00000000" w:rsidR="00000000" w:rsidRPr="00000000">
                    <w:rPr>
                      <w:color w:val="000000"/>
                      <w:rtl w:val="0"/>
                    </w:rPr>
                    <w:t xml:space="preserve">7</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D9">
                  <w:pPr>
                    <w:spacing w:after="0" w:line="240" w:lineRule="auto"/>
                    <w:rPr>
                      <w:color w:val="000000"/>
                    </w:rPr>
                  </w:pPr>
                  <w:r w:rsidDel="00000000" w:rsidR="00000000" w:rsidRPr="00000000">
                    <w:rPr>
                      <w:color w:val="000000"/>
                      <w:rtl w:val="0"/>
                    </w:rPr>
                    <w:t xml:space="preserve">13</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DA">
                  <w:pPr>
                    <w:spacing w:after="0" w:line="240" w:lineRule="auto"/>
                    <w:rPr>
                      <w:color w:val="000000"/>
                    </w:rPr>
                  </w:pPr>
                  <w:r w:rsidDel="00000000" w:rsidR="00000000" w:rsidRPr="00000000">
                    <w:rPr>
                      <w:color w:val="000000"/>
                      <w:rtl w:val="0"/>
                    </w:rPr>
                    <w:t xml:space="preserve">3</w:t>
                  </w:r>
                </w:p>
              </w:tc>
            </w:tr>
            <w:tr>
              <w:trPr>
                <w:cantSplit w:val="0"/>
                <w:trHeight w:val="256" w:hRule="atLeast"/>
                <w:tblHeader w:val="0"/>
              </w:trPr>
              <w:tc>
                <w:tcPr/>
                <w:p w:rsidR="00000000" w:rsidDel="00000000" w:rsidP="00000000" w:rsidRDefault="00000000" w:rsidRPr="00000000" w14:paraId="000000DB">
                  <w:pPr>
                    <w:tabs>
                      <w:tab w:val="left" w:leader="none" w:pos="0"/>
                    </w:tabs>
                    <w:rPr>
                      <w:sz w:val="22"/>
                      <w:szCs w:val="22"/>
                    </w:rPr>
                  </w:pPr>
                  <w:r w:rsidDel="00000000" w:rsidR="00000000" w:rsidRPr="00000000">
                    <w:rPr>
                      <w:sz w:val="22"/>
                      <w:szCs w:val="22"/>
                      <w:rtl w:val="0"/>
                    </w:rPr>
                    <w:t xml:space="preserve">GDS PP (9)</w:t>
                  </w:r>
                </w:p>
                <w:p w:rsidR="00000000" w:rsidDel="00000000" w:rsidP="00000000" w:rsidRDefault="00000000" w:rsidRPr="00000000" w14:paraId="000000DC">
                  <w:pPr>
                    <w:tabs>
                      <w:tab w:val="left" w:leader="none" w:pos="0"/>
                    </w:tabs>
                    <w:rPr>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DD">
                  <w:pPr>
                    <w:spacing w:after="0" w:line="240" w:lineRule="auto"/>
                    <w:rPr>
                      <w:color w:val="000000"/>
                    </w:rPr>
                  </w:pPr>
                  <w:r w:rsidDel="00000000" w:rsidR="00000000" w:rsidRPr="00000000">
                    <w:rPr>
                      <w:color w:val="000000"/>
                      <w:rtl w:val="0"/>
                    </w:rPr>
                    <w:t xml:space="preserve">11</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DE">
                  <w:pPr>
                    <w:spacing w:after="0" w:line="240" w:lineRule="auto"/>
                    <w:rPr>
                      <w:color w:val="000000"/>
                    </w:rPr>
                  </w:pPr>
                  <w:r w:rsidDel="00000000" w:rsidR="00000000" w:rsidRPr="00000000">
                    <w:rPr>
                      <w:color w:val="000000"/>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DF">
                  <w:pPr>
                    <w:spacing w:after="0" w:line="240" w:lineRule="auto"/>
                    <w:rPr>
                      <w:color w:val="000000"/>
                    </w:rPr>
                  </w:pPr>
                  <w:r w:rsidDel="00000000" w:rsidR="00000000" w:rsidRPr="00000000">
                    <w:rPr>
                      <w:color w:val="000000"/>
                      <w:rtl w:val="0"/>
                    </w:rPr>
                    <w:t xml:space="preserve">0</w:t>
                  </w:r>
                </w:p>
              </w:tc>
              <w:tc>
                <w:tcPr>
                  <w:tcBorders>
                    <w:top w:color="000000" w:space="0" w:sz="4" w:val="single"/>
                    <w:left w:color="000000" w:space="0" w:sz="4" w:val="single"/>
                    <w:bottom w:color="000000" w:space="0" w:sz="4" w:val="single"/>
                    <w:right w:color="000000" w:space="0" w:sz="4" w:val="single"/>
                  </w:tcBorders>
                  <w:tcMar>
                    <w:top w:w="100.0" w:type="dxa"/>
                    <w:left w:w="103.0" w:type="dxa"/>
                    <w:bottom w:w="100.0" w:type="dxa"/>
                    <w:right w:w="100.0" w:type="dxa"/>
                  </w:tcMar>
                </w:tcPr>
                <w:p w:rsidR="00000000" w:rsidDel="00000000" w:rsidP="00000000" w:rsidRDefault="00000000" w:rsidRPr="00000000" w14:paraId="000000E0">
                  <w:pPr>
                    <w:spacing w:after="0" w:line="240" w:lineRule="auto"/>
                    <w:rPr>
                      <w:color w:val="000000"/>
                    </w:rPr>
                  </w:pPr>
                  <w:r w:rsidDel="00000000" w:rsidR="00000000" w:rsidRPr="00000000">
                    <w:rPr>
                      <w:color w:val="000000"/>
                      <w:rtl w:val="0"/>
                    </w:rPr>
                    <w:t xml:space="preserve">0</w:t>
                  </w:r>
                </w:p>
              </w:tc>
            </w:tr>
          </w:tbl>
          <w:p w:rsidR="00000000" w:rsidDel="00000000" w:rsidP="00000000" w:rsidRDefault="00000000" w:rsidRPr="00000000" w14:paraId="000000E1">
            <w:pPr>
              <w:widowControl w:val="0"/>
              <w:tabs>
                <w:tab w:val="left" w:leader="none" w:pos="0"/>
              </w:tabs>
              <w:spacing w:after="0" w:line="240" w:lineRule="auto"/>
              <w:rPr>
                <w:color w:val="000000"/>
              </w:rPr>
            </w:pPr>
            <w:r w:rsidDel="00000000" w:rsidR="00000000" w:rsidRPr="00000000">
              <w:rPr>
                <w:rtl w:val="0"/>
              </w:rPr>
            </w:r>
          </w:p>
          <w:p w:rsidR="00000000" w:rsidDel="00000000" w:rsidP="00000000" w:rsidRDefault="00000000" w:rsidRPr="00000000" w14:paraId="000000E2">
            <w:pPr>
              <w:spacing w:after="0" w:line="240" w:lineRule="auto"/>
              <w:rPr>
                <w:color w:val="000000"/>
              </w:rPr>
            </w:pPr>
            <w:r w:rsidDel="00000000" w:rsidR="00000000" w:rsidRPr="00000000">
              <w:rPr>
                <w:color w:val="000000"/>
                <w:rtl w:val="0"/>
              </w:rPr>
              <w:t xml:space="preserve">Of this cohort, there are 9 pupils who are pupil premium. Four of these pupils have SEND. Of the PP pupils 5/9 (56%) achieved the expected standard in Writing and Reading. 1/9 attained the greater depth standard (11%) in Reading. 4/9 (44%) achieved the expected standard in maths.</w:t>
            </w:r>
          </w:p>
          <w:p w:rsidR="00000000" w:rsidDel="00000000" w:rsidP="00000000" w:rsidRDefault="00000000" w:rsidRPr="00000000" w14:paraId="000000E3">
            <w:pPr>
              <w:widowControl w:val="0"/>
              <w:spacing w:after="0" w:line="240" w:lineRule="auto"/>
              <w:ind w:right="57"/>
              <w:rPr/>
            </w:pPr>
            <w:r w:rsidDel="00000000" w:rsidR="00000000" w:rsidRPr="00000000">
              <w:rPr>
                <w:rtl w:val="0"/>
              </w:rPr>
              <w:t xml:space="preserve">As a school, we continue to work hard to close the gap between our disadvantaged and non-disadvantaged pupils. </w:t>
            </w:r>
          </w:p>
          <w:p w:rsidR="00000000" w:rsidDel="00000000" w:rsidP="00000000" w:rsidRDefault="00000000" w:rsidRPr="00000000" w14:paraId="000000E4">
            <w:pPr>
              <w:widowControl w:val="0"/>
              <w:spacing w:after="0" w:line="240" w:lineRule="auto"/>
              <w:ind w:right="57"/>
              <w:rPr>
                <w:color w:val="000000"/>
              </w:rPr>
            </w:pPr>
            <w:bookmarkStart w:colFirst="0" w:colLast="0" w:name="_heading=h.gs07xnhl2mn0" w:id="4"/>
            <w:bookmarkEnd w:id="4"/>
            <w:r w:rsidDel="00000000" w:rsidR="00000000" w:rsidRPr="00000000">
              <w:rPr>
                <w:color w:val="000000"/>
                <w:rtl w:val="0"/>
              </w:rPr>
              <w:t xml:space="preserve">We will further our efforts in developing every teacher a teacher of SEND to ensure that these pupils achieve as well in maths as they have in reading and writing, as teachers skilfully adapt provision and enable strong progress in maths as well as grammar, spelling and punctuation.</w:t>
            </w:r>
          </w:p>
          <w:p w:rsidR="00000000" w:rsidDel="00000000" w:rsidP="00000000" w:rsidRDefault="00000000" w:rsidRPr="00000000" w14:paraId="000000E5">
            <w:pPr>
              <w:widowControl w:val="0"/>
              <w:tabs>
                <w:tab w:val="left" w:leader="none" w:pos="0"/>
              </w:tabs>
              <w:spacing w:after="0" w:line="240" w:lineRule="auto"/>
              <w:rPr/>
            </w:pPr>
            <w:r w:rsidDel="00000000" w:rsidR="00000000" w:rsidRPr="00000000">
              <w:rPr>
                <w:rtl w:val="0"/>
              </w:rPr>
            </w:r>
          </w:p>
          <w:p w:rsidR="00000000" w:rsidDel="00000000" w:rsidP="00000000" w:rsidRDefault="00000000" w:rsidRPr="00000000" w14:paraId="000000E6">
            <w:pPr>
              <w:spacing w:after="60" w:before="60" w:line="240" w:lineRule="auto"/>
              <w:ind w:right="57"/>
              <w:rPr>
                <w:color w:val="00b050"/>
                <w:sz w:val="20"/>
                <w:szCs w:val="20"/>
              </w:rPr>
            </w:pPr>
            <w:r w:rsidDel="00000000" w:rsidR="00000000" w:rsidRPr="00000000">
              <w:rPr>
                <w:rtl w:val="0"/>
              </w:rPr>
            </w:r>
          </w:p>
          <w:p w:rsidR="00000000" w:rsidDel="00000000" w:rsidP="00000000" w:rsidRDefault="00000000" w:rsidRPr="00000000" w14:paraId="000000E7">
            <w:pPr>
              <w:spacing w:after="60" w:before="60" w:line="240" w:lineRule="auto"/>
              <w:ind w:right="57"/>
              <w:rPr>
                <w:color w:val="000000"/>
              </w:rPr>
            </w:pPr>
            <w:r w:rsidDel="00000000" w:rsidR="00000000" w:rsidRPr="00000000">
              <w:rPr>
                <w:color w:val="000000"/>
                <w:rtl w:val="0"/>
              </w:rPr>
              <w:t xml:space="preserve">Next Steps:</w:t>
            </w:r>
          </w:p>
          <w:p w:rsidR="00000000" w:rsidDel="00000000" w:rsidP="00000000" w:rsidRDefault="00000000" w:rsidRPr="00000000" w14:paraId="000000E8">
            <w:pPr>
              <w:spacing w:after="60" w:before="60" w:line="240" w:lineRule="auto"/>
              <w:ind w:right="57"/>
              <w:rPr/>
            </w:pPr>
            <w:r w:rsidDel="00000000" w:rsidR="00000000" w:rsidRPr="00000000">
              <w:rPr>
                <w:color w:val="000000"/>
                <w:rtl w:val="0"/>
              </w:rPr>
              <w:t xml:space="preserve">Pupils, including disadvantaged pupils, have continued to have access to a range of wider opportunities. Our school has participated in a wide range of sporting events which, among others, have included: weekly swimming lessons, </w:t>
            </w:r>
            <w:r w:rsidDel="00000000" w:rsidR="00000000" w:rsidRPr="00000000">
              <w:rPr>
                <w:rtl w:val="0"/>
              </w:rPr>
              <w:t xml:space="preserve">cluster events (cross country, Croydon Cup, Quicksticks Hockey etc), Mini Medics training and Bikeability. </w:t>
            </w:r>
            <w:r w:rsidDel="00000000" w:rsidR="00000000" w:rsidRPr="00000000">
              <w:rPr>
                <w:color w:val="000000"/>
                <w:rtl w:val="0"/>
              </w:rPr>
              <w:t xml:space="preserve">Life Skills taught have included: </w:t>
            </w:r>
            <w:r w:rsidDel="00000000" w:rsidR="00000000" w:rsidRPr="00000000">
              <w:rPr>
                <w:rtl w:val="0"/>
              </w:rPr>
              <w:t xml:space="preserve">tying shoelaces, hoovering, washing up, pegging washing out and first aid skills! </w:t>
            </w:r>
            <w:r w:rsidDel="00000000" w:rsidR="00000000" w:rsidRPr="00000000">
              <w:rPr>
                <w:color w:val="000000"/>
                <w:rtl w:val="0"/>
              </w:rPr>
              <w:t xml:space="preserve">Trips and visits have included transition days (Alderman Peel/Smithdon High School), Crucial Crew, Norwich UEA Sainsbury Centre, Holkham Hall, Lynn Museum and the Cambridge Science Centre. </w:t>
            </w:r>
            <w:r w:rsidDel="00000000" w:rsidR="00000000" w:rsidRPr="00000000">
              <w:rPr>
                <w:rtl w:val="0"/>
              </w:rPr>
              <w:t xml:space="preserve">We have continued to subscribe to The Brilliant Club – Cambridge Scholar’s Programme, which included weekly face-to-face tutorials and a graduation in Cambridge. </w:t>
            </w:r>
          </w:p>
          <w:p w:rsidR="00000000" w:rsidDel="00000000" w:rsidP="00000000" w:rsidRDefault="00000000" w:rsidRPr="00000000" w14:paraId="000000E9">
            <w:pPr>
              <w:spacing w:after="60" w:before="60" w:line="240" w:lineRule="auto"/>
              <w:ind w:right="57"/>
              <w:rPr>
                <w:color w:val="000000"/>
              </w:rPr>
            </w:pPr>
            <w:r w:rsidDel="00000000" w:rsidR="00000000" w:rsidRPr="00000000">
              <w:rPr>
                <w:color w:val="000000"/>
                <w:rtl w:val="0"/>
              </w:rPr>
              <w:t xml:space="preserve">Assemblies have included: visits from Reverend Wilson, Celebration Assemblies every Friday, singing assemblies as well as assemblies from visitors including classical musicians and theatre companies, both for inspiring performances. We also hold a Y6 leavers assembly</w:t>
            </w:r>
            <w:r w:rsidDel="00000000" w:rsidR="00000000" w:rsidRPr="00000000">
              <w:rPr>
                <w:rtl w:val="0"/>
              </w:rPr>
              <w:t xml:space="preserve">.                                              Furthermore, </w:t>
            </w:r>
            <w:r w:rsidDel="00000000" w:rsidR="00000000" w:rsidRPr="00000000">
              <w:rPr>
                <w:color w:val="000000"/>
                <w:rtl w:val="0"/>
              </w:rPr>
              <w:t xml:space="preserve">Trust/school events and workshops have included: Mental Health Week, West Norfolk Academies Trust Music Concert at Springwood High School, Christmas Carols at St. Nicholas Chapel in King’s Lynn World Book Day, Soroptomists Public Speaking Event at the college, Smithdon High School Year 3/4 Sports Festival, West Norfolk Academies Trust Primary Maths Challenge, Apprenticeship Day, Spelling Bee, Reading Passport and move up/stay up.</w:t>
            </w:r>
            <w:r w:rsidDel="00000000" w:rsidR="00000000" w:rsidRPr="00000000">
              <w:rPr>
                <w:rtl w:val="0"/>
              </w:rPr>
              <w:t xml:space="preserve">                                                                                                                    We have also completed fundraisers for Christmas Jumper Day, Children in Need and Red Nose Day. On average, disadvantaged pupils have accounted for 35%-50% of pupils participating in key events and enrichment opportunities.</w:t>
            </w:r>
            <w:r w:rsidDel="00000000" w:rsidR="00000000" w:rsidRPr="00000000">
              <w:rPr>
                <w:rtl w:val="0"/>
              </w:rPr>
            </w:r>
          </w:p>
          <w:p w:rsidR="00000000" w:rsidDel="00000000" w:rsidP="00000000" w:rsidRDefault="00000000" w:rsidRPr="00000000" w14:paraId="000000EA">
            <w:pPr>
              <w:spacing w:after="60" w:before="60" w:line="240" w:lineRule="auto"/>
              <w:ind w:left="57" w:right="57" w:firstLine="0"/>
              <w:rPr/>
            </w:pPr>
            <w:r w:rsidDel="00000000" w:rsidR="00000000" w:rsidRPr="00000000">
              <w:rPr>
                <w:rtl w:val="0"/>
              </w:rPr>
            </w:r>
          </w:p>
          <w:p w:rsidR="00000000" w:rsidDel="00000000" w:rsidP="00000000" w:rsidRDefault="00000000" w:rsidRPr="00000000" w14:paraId="000000EB">
            <w:pPr>
              <w:spacing w:after="60" w:before="60" w:line="240" w:lineRule="auto"/>
              <w:ind w:right="57"/>
              <w:rPr>
                <w:color w:val="000000"/>
              </w:rPr>
            </w:pPr>
            <w:r w:rsidDel="00000000" w:rsidR="00000000" w:rsidRPr="00000000">
              <w:rPr>
                <w:b w:val="1"/>
                <w:bCs w:val="1"/>
                <w:rtl w:val="0"/>
              </w:rPr>
              <w:t xml:space="preserve">Improved parental engagement - </w:t>
            </w:r>
            <w:r w:rsidDel="00000000" w:rsidR="00000000" w:rsidRPr="00000000">
              <w:rPr>
                <w:rtl w:val="0"/>
              </w:rPr>
              <w:t xml:space="preserve">Parental engagement continues to thrive through parents' evenings, school events, trips and extra-curricular clubs. The PTA has successfully hosted events and fundraising activities which actively involve families and include a Christmas fayre, a field-a-thon and, including a well-attended Easter Eggstravaganza and trundle. Engagement via Class Dojo remains positive, with pupils achievements shared weekly, as well as photos of pupil learning shared regularly.and Parents also receive refular newsletters along with knowledge organisers which are shared every half term to strengthen the home-school partnership.</w:t>
            </w:r>
            <w:r w:rsidDel="00000000" w:rsidR="00000000" w:rsidRPr="00000000">
              <w:rPr>
                <w:rtl w:val="0"/>
              </w:rPr>
            </w:r>
          </w:p>
          <w:p w:rsidR="00000000" w:rsidDel="00000000" w:rsidP="00000000" w:rsidRDefault="00000000" w:rsidRPr="00000000" w14:paraId="000000EC">
            <w:pPr>
              <w:spacing w:after="60" w:before="60" w:line="240" w:lineRule="auto"/>
              <w:ind w:right="57"/>
              <w:rPr>
                <w:color w:val="000000"/>
              </w:rPr>
            </w:pPr>
            <w:r w:rsidDel="00000000" w:rsidR="00000000" w:rsidRPr="00000000">
              <w:rPr>
                <w:rtl w:val="0"/>
              </w:rPr>
            </w:r>
          </w:p>
          <w:p w:rsidR="00000000" w:rsidDel="00000000" w:rsidP="00000000" w:rsidRDefault="00000000" w:rsidRPr="00000000" w14:paraId="000000ED">
            <w:pPr>
              <w:spacing w:line="240" w:lineRule="auto"/>
              <w:rPr>
                <w:b w:val="1"/>
                <w:bCs w:val="1"/>
              </w:rPr>
            </w:pPr>
            <w:r w:rsidDel="00000000" w:rsidR="00000000" w:rsidRPr="00000000">
              <w:rPr>
                <w:b w:val="1"/>
                <w:bCs w:val="1"/>
                <w:rtl w:val="0"/>
              </w:rPr>
              <w:t xml:space="preserve">Every teacher a teacher of SEND – </w:t>
            </w:r>
            <w:r w:rsidDel="00000000" w:rsidR="00000000" w:rsidRPr="00000000">
              <w:rPr>
                <w:rtl w:val="0"/>
              </w:rPr>
              <w:t xml:space="preserve">Regular planned CPD has supported staff development and enhanced our offer to pupils. Autumn term: script review, INDES and learning plans, lowest 20% technology and handwriting.</w:t>
            </w:r>
            <w:r w:rsidDel="00000000" w:rsidR="00000000" w:rsidRPr="00000000">
              <w:rPr>
                <w:color w:val="ff0000"/>
                <w:rtl w:val="0"/>
              </w:rPr>
              <w:t xml:space="preserve"> </w:t>
            </w:r>
            <w:r w:rsidDel="00000000" w:rsidR="00000000" w:rsidRPr="00000000">
              <w:rPr>
                <w:color w:val="000000"/>
                <w:rtl w:val="0"/>
              </w:rPr>
              <w:t xml:space="preserve">Julie Stewart delivered training on SEND support. Extra CPD has been delivered on how to adapt learning, use Widgit, etc. Spring term CPD has been planned to support teachers in writing learning plans. CPD on the development of the teaching of other subjects was delivered in the autumn, along with the use of AI in schools. </w:t>
            </w:r>
            <w:r w:rsidDel="00000000" w:rsidR="00000000" w:rsidRPr="00000000">
              <w:rPr>
                <w:rtl w:val="0"/>
              </w:rPr>
              <w:t xml:space="preserve">Spring term: SALT, Wellcomm, planning adaptions and learning plan reviews. Summer term: Fundamentals, mental health team, adapting plans for pupils at PKS and using teaching assistants effectively.   Adaptions are in place for all SEND pupils to support learning. SEND team work alongside staff to ensure planned adaptions are in place and continue to be effective. Screening completed as required and outcomes/suggestions for support shared with staff. Professional reports shared via provision mapping – outcomes feed into learning plan targets. Learning plans are on provision mapping and are reviewed/renewed every term (children and families are part of this process and their views are captured). </w:t>
            </w:r>
            <w:r w:rsidDel="00000000" w:rsidR="00000000" w:rsidRPr="00000000">
              <w:rPr>
                <w:rtl w:val="0"/>
              </w:rPr>
            </w:r>
          </w:p>
          <w:p w:rsidR="00000000" w:rsidDel="00000000" w:rsidP="00000000" w:rsidRDefault="00000000" w:rsidRPr="00000000" w14:paraId="000000EE">
            <w:pPr>
              <w:spacing w:after="60" w:before="60" w:line="240" w:lineRule="auto"/>
              <w:ind w:right="57"/>
              <w:rPr/>
            </w:pPr>
            <w:r w:rsidDel="00000000" w:rsidR="00000000" w:rsidRPr="00000000">
              <w:rPr>
                <w:b w:val="1"/>
                <w:bCs w:val="1"/>
                <w:rtl w:val="0"/>
              </w:rPr>
              <w:t xml:space="preserve">Improved % attendance -</w:t>
            </w:r>
            <w:r w:rsidDel="00000000" w:rsidR="00000000" w:rsidRPr="00000000">
              <w:rPr>
                <w:color w:val="ff0000"/>
                <w:rtl w:val="0"/>
              </w:rPr>
              <w:t xml:space="preserve">. </w:t>
            </w:r>
            <w:r w:rsidDel="00000000" w:rsidR="00000000" w:rsidRPr="00000000">
              <w:rPr>
                <w:rtl w:val="0"/>
              </w:rPr>
              <w:t xml:space="preserve">Attendance for this year stands at 94.6% for all pupils, while attendance for disadvantaged pupils (PP) is 90.2%. Unfortunately the rates of attendance for pupil premium pupils falls below the national average of 93.3%. Improving attendance will remain a key focus in 2025–26 as research indicates that three-quarters of schools in England identify poor attendance and low reading levels as the most significant barriers to academic achievement among socio-economically disadvantaged pupils. We have looked closely into cases of persistent absences, with a some of these cases being pupil premium pupils and have developed strategies to help tackle this, including attendance contracts, working closely with families, offering breakfast club opportunities to support and more. </w:t>
            </w:r>
          </w:p>
        </w:tc>
      </w:tr>
    </w:tbl>
    <w:p w:rsidR="00000000" w:rsidDel="00000000" w:rsidP="00000000" w:rsidRDefault="00000000" w:rsidRPr="00000000" w14:paraId="000000EF">
      <w:pPr>
        <w:tabs>
          <w:tab w:val="left" w:leader="none" w:pos="1155"/>
        </w:tabs>
        <w:rPr/>
      </w:pPr>
      <w:r w:rsidDel="00000000" w:rsidR="00000000" w:rsidRPr="00000000">
        <w:rPr>
          <w:rtl w:val="0"/>
        </w:rPr>
      </w:r>
    </w:p>
    <w:sectPr>
      <w:headerReference r:id="rId7" w:type="default"/>
      <w:footerReference r:id="rId8" w:type="default"/>
      <w:pgSz w:h="16838" w:w="11906" w:orient="portrait"/>
      <w:pgMar w:bottom="720" w:top="720" w:left="720" w:right="720"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4513"/>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d0d0d"/>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d0d0d"/>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0d0d0d"/>
        <w:sz w:val="24"/>
        <w:szCs w:val="24"/>
        <w:lang w:val="en_GB"/>
      </w:rPr>
    </w:rPrDefault>
    <w:pPrDefault>
      <w:pPr>
        <w:spacing w:after="24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1"/>
      <w:spacing w:line="240" w:lineRule="auto"/>
    </w:pPr>
    <w:rPr>
      <w:b w:val="1"/>
      <w:bCs w:val="1"/>
      <w:color w:val="104f75"/>
      <w:sz w:val="36"/>
      <w:szCs w:val="36"/>
    </w:rPr>
  </w:style>
  <w:style w:type="paragraph" w:styleId="Heading2">
    <w:name w:val="heading 2"/>
    <w:basedOn w:val="Normal"/>
    <w:next w:val="Normal"/>
    <w:pPr>
      <w:keepNext w:val="1"/>
      <w:spacing w:before="480" w:line="240" w:lineRule="auto"/>
    </w:pPr>
    <w:rPr>
      <w:b w:val="1"/>
      <w:bCs w:val="1"/>
      <w:color w:val="104f75"/>
      <w:sz w:val="32"/>
      <w:szCs w:val="32"/>
    </w:rPr>
  </w:style>
  <w:style w:type="paragraph" w:styleId="Heading3">
    <w:name w:val="heading 3"/>
    <w:basedOn w:val="Normal"/>
    <w:next w:val="Normal"/>
    <w:pPr>
      <w:keepNext w:val="1"/>
      <w:spacing w:before="360" w:line="240" w:lineRule="auto"/>
    </w:pPr>
    <w:rPr>
      <w:b w:val="1"/>
      <w:bCs w:val="1"/>
      <w:color w:val="104f75"/>
      <w:sz w:val="28"/>
      <w:szCs w:val="28"/>
    </w:rPr>
  </w:style>
  <w:style w:type="paragraph" w:styleId="Heading4">
    <w:name w:val="heading 4"/>
    <w:basedOn w:val="Normal"/>
    <w:next w:val="Normal"/>
    <w:pPr>
      <w:keepNext w:val="1"/>
      <w:spacing w:before="240" w:line="240" w:lineRule="auto"/>
    </w:pPr>
    <w:rPr>
      <w:b w:val="1"/>
      <w:bCs w:val="1"/>
      <w:color w:val="104f75"/>
      <w:sz w:val="24"/>
      <w:szCs w:val="24"/>
    </w:rPr>
  </w:style>
  <w:style w:type="paragraph" w:styleId="Heading5">
    <w:name w:val="heading 5"/>
    <w:basedOn w:val="Normal"/>
    <w:next w:val="Normal"/>
    <w:pPr>
      <w:spacing w:after="60" w:before="240" w:lineRule="auto"/>
      <w:ind w:left="1008" w:hanging="1008"/>
    </w:pPr>
    <w:rPr>
      <w:rFonts w:ascii="Calibri" w:cs="Calibri" w:eastAsia="Calibri" w:hAnsi="Calibri"/>
      <w:b w:val="1"/>
      <w:bCs w:val="1"/>
      <w:i w:val="1"/>
      <w:iCs w:val="1"/>
      <w:sz w:val="26"/>
      <w:szCs w:val="26"/>
    </w:rPr>
  </w:style>
  <w:style w:type="paragraph" w:styleId="Heading6">
    <w:name w:val="heading 6"/>
    <w:basedOn w:val="Normal"/>
    <w:next w:val="Normal"/>
    <w:pPr>
      <w:spacing w:after="60" w:before="240" w:lineRule="auto"/>
      <w:ind w:left="1152" w:hanging="1152"/>
    </w:pPr>
    <w:rPr>
      <w:rFonts w:ascii="Calibri" w:cs="Calibri" w:eastAsia="Calibri" w:hAnsi="Calibri"/>
      <w:b w:val="1"/>
      <w:bCs w:val="1"/>
    </w:rPr>
  </w:style>
  <w:style w:type="paragraph" w:styleId="Title">
    <w:name w:val="Title"/>
    <w:basedOn w:val="Normal"/>
    <w:next w:val="Normal"/>
    <w:pPr>
      <w:spacing w:before="240" w:line="240" w:lineRule="auto"/>
    </w:pPr>
    <w:rPr>
      <w:b w:val="1"/>
      <w:bCs w:val="1"/>
      <w:color w:val="104f75"/>
      <w:sz w:val="96"/>
      <w:szCs w:val="9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pPr>
      <w:numPr>
        <w:ilvl w:val="6"/>
        <w:numId w:val="1"/>
      </w:numPr>
      <w:spacing w:after="60" w:before="240"/>
      <w:outlineLvl w:val="6"/>
    </w:pPr>
    <w:rPr>
      <w:rFonts w:ascii="Calibri" w:hAnsi="Calibri"/>
    </w:rPr>
  </w:style>
  <w:style w:type="paragraph" w:styleId="Heading8">
    <w:name w:val="heading 8"/>
    <w:basedOn w:val="Normal"/>
    <w:next w:val="Normal"/>
    <w:pPr>
      <w:numPr>
        <w:ilvl w:val="7"/>
        <w:numId w:val="1"/>
      </w:numPr>
      <w:spacing w:after="60" w:before="240"/>
      <w:outlineLvl w:val="7"/>
    </w:pPr>
    <w:rPr>
      <w:rFonts w:ascii="Calibri" w:hAnsi="Calibri"/>
      <w:i w:val="1"/>
      <w:iCs w:val="1"/>
    </w:rPr>
  </w:style>
  <w:style w:type="paragraph" w:styleId="Heading9">
    <w:name w:val="heading 9"/>
    <w:basedOn w:val="Normal"/>
    <w:next w:val="Normal"/>
    <w:pPr>
      <w:numPr>
        <w:ilvl w:val="8"/>
        <w:numId w:val="1"/>
      </w:numPr>
      <w:spacing w:after="60" w:before="240"/>
      <w:outlineLvl w:val="8"/>
    </w:pPr>
    <w:rPr>
      <w:rFonts w:ascii="Cambria" w:hAnsi="Cambria"/>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numbering" w:styleId="WWOutlineListStyle1" w:customStyle="1">
    <w:name w:val="WW_OutlineListStyle_1"/>
    <w:basedOn w:val="NoList"/>
    <w:pPr>
      <w:numPr>
        <w:numId w:val="1"/>
      </w:numPr>
    </w:pPr>
  </w:style>
  <w:style w:type="character" w:styleId="Heading1Char" w:customStyle="1">
    <w:name w:val="Heading 1 Char"/>
    <w:rPr>
      <w:b w:val="1"/>
      <w:color w:val="104f75"/>
      <w:sz w:val="36"/>
      <w:szCs w:val="24"/>
    </w:rPr>
  </w:style>
  <w:style w:type="character" w:styleId="Heading2Char" w:customStyle="1">
    <w:name w:val="Heading 2 Char"/>
    <w:rPr>
      <w:b w:val="1"/>
      <w:color w:val="104f75"/>
      <w:sz w:val="32"/>
      <w:szCs w:val="32"/>
    </w:rPr>
  </w:style>
  <w:style w:type="character" w:styleId="Heading3Char" w:customStyle="1">
    <w:name w:val="Heading 3 Char"/>
    <w:rPr>
      <w:b w:val="1"/>
      <w:bCs w:val="1"/>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val="1"/>
    </w:pPr>
    <w:rPr>
      <w:rFonts w:cs="Arial"/>
      <w:b w:val="1"/>
      <w:color w:val="365f91"/>
      <w:sz w:val="36"/>
      <w:szCs w:val="28"/>
      <w:lang w:eastAsia="ja-JP"/>
    </w:rPr>
  </w:style>
  <w:style w:type="paragraph" w:styleId="TitleText" w:customStyle="1">
    <w:name w:val="TitleText"/>
    <w:basedOn w:val="Normal"/>
    <w:pPr>
      <w:spacing w:before="3600" w:line="240" w:lineRule="auto"/>
    </w:pPr>
    <w:rPr>
      <w:rFonts w:cs="Arial"/>
      <w:b w:val="1"/>
      <w:color w:val="104f75"/>
      <w:sz w:val="92"/>
      <w:szCs w:val="92"/>
    </w:rPr>
  </w:style>
  <w:style w:type="character" w:styleId="TitleTextChar" w:customStyle="1">
    <w:name w:val="TitleText Char"/>
    <w:rPr>
      <w:rFonts w:cs="Arial"/>
      <w:b w:val="1"/>
      <w:color w:val="104f75"/>
      <w:sz w:val="92"/>
      <w:szCs w:val="92"/>
    </w:rPr>
  </w:style>
  <w:style w:type="paragraph" w:styleId="SubtitleText" w:customStyle="1">
    <w:name w:val="SubtitleText"/>
    <w:basedOn w:val="Normal"/>
    <w:pPr>
      <w:spacing w:after="1520"/>
    </w:pPr>
    <w:rPr>
      <w:rFonts w:cs="Arial"/>
      <w:b w:val="1"/>
      <w:color w:val="104f75"/>
      <w:sz w:val="48"/>
      <w:szCs w:val="48"/>
    </w:rPr>
  </w:style>
  <w:style w:type="character" w:styleId="SubtitleTextChar" w:customStyle="1">
    <w:name w:val="SubtitleText Char"/>
    <w:rPr>
      <w:rFonts w:cs="Arial"/>
      <w:b w:val="1"/>
      <w:color w:val="104f75"/>
      <w:sz w:val="48"/>
      <w:szCs w:val="48"/>
    </w:rPr>
  </w:style>
  <w:style w:type="paragraph" w:styleId="ListBullet">
    <w:name w:val="List Bullet"/>
    <w:basedOn w:val="ListBullet5"/>
    <w:pPr>
      <w:numPr>
        <w:numId w:val="5"/>
      </w:numPr>
      <w:contextualSpacing w:val="1"/>
    </w:pPr>
  </w:style>
  <w:style w:type="paragraph" w:styleId="TOC1">
    <w:name w:val="toc 1"/>
    <w:basedOn w:val="Normal"/>
    <w:next w:val="Normal"/>
    <w:autoRedefine w:val="1"/>
    <w:pPr>
      <w:tabs>
        <w:tab w:val="right" w:pos="9498"/>
      </w:tabs>
      <w:spacing w:after="120"/>
    </w:pPr>
  </w:style>
  <w:style w:type="paragraph" w:styleId="TOC2">
    <w:name w:val="toc 2"/>
    <w:basedOn w:val="Normal"/>
    <w:next w:val="Normal"/>
    <w:autoRedefine w:val="1"/>
    <w:pPr>
      <w:tabs>
        <w:tab w:val="right" w:pos="9498"/>
      </w:tabs>
      <w:spacing w:after="120"/>
      <w:ind w:left="238"/>
    </w:pPr>
  </w:style>
  <w:style w:type="paragraph" w:styleId="TOC3">
    <w:name w:val="toc 3"/>
    <w:basedOn w:val="Normal"/>
    <w:next w:val="Normal"/>
    <w:autoRedefine w:val="1"/>
    <w:pPr>
      <w:tabs>
        <w:tab w:val="right" w:pos="9498"/>
      </w:tabs>
      <w:spacing w:after="120"/>
      <w:ind w:left="480"/>
    </w:pPr>
  </w:style>
  <w:style w:type="paragraph" w:styleId="CopyrightBox" w:customStyle="1">
    <w:name w:val="CopyrightBox"/>
    <w:basedOn w:val="Normal"/>
  </w:style>
  <w:style w:type="character" w:styleId="CopyrightBoxChar" w:customStyle="1">
    <w:name w:val="CopyrightBox Char"/>
    <w:rPr>
      <w:color w:val="0d0d0d"/>
      <w:sz w:val="24"/>
      <w:szCs w:val="24"/>
    </w:rPr>
  </w:style>
  <w:style w:type="paragraph" w:styleId="CopyrightSpacing" w:customStyle="1">
    <w:name w:val="CopyrightSpacing"/>
    <w:basedOn w:val="Normal"/>
    <w:pPr>
      <w:spacing w:after="120" w:before="6000"/>
    </w:pPr>
  </w:style>
  <w:style w:type="character" w:styleId="CopyrightSpacingChar" w:customStyle="1">
    <w:name w:val="CopyrightSpacing Char"/>
    <w:rPr>
      <w:sz w:val="24"/>
      <w:szCs w:val="24"/>
    </w:rPr>
  </w:style>
  <w:style w:type="character" w:styleId="TitleChar" w:customStyle="1">
    <w:name w:val="Title Char"/>
    <w:rPr>
      <w:rFonts w:ascii="Arial" w:cs="Arial" w:hAnsi="Arial"/>
      <w:b w:val="1"/>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val="1"/>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val="1"/>
    <w:pPr>
      <w:numPr>
        <w:numId w:val="8"/>
      </w:numPr>
      <w:contextualSpacing w:val="1"/>
    </w:pPr>
  </w:style>
  <w:style w:type="paragraph" w:styleId="Caption">
    <w:name w:val="caption"/>
    <w:basedOn w:val="Normal"/>
    <w:next w:val="Normal"/>
    <w:pPr>
      <w:spacing w:after="120" w:before="120"/>
      <w:jc w:val="center"/>
    </w:pPr>
    <w:rPr>
      <w:b w:val="1"/>
      <w:bCs w:val="1"/>
      <w:color w:val="000000"/>
      <w:sz w:val="20"/>
      <w:szCs w:val="20"/>
    </w:rPr>
  </w:style>
  <w:style w:type="character" w:styleId="Heading4Char" w:customStyle="1">
    <w:name w:val="Heading 4 Char"/>
    <w:rPr>
      <w:b w:val="1"/>
      <w:bCs w:val="1"/>
      <w:color w:val="104f75"/>
      <w:sz w:val="24"/>
      <w:szCs w:val="28"/>
    </w:rPr>
  </w:style>
  <w:style w:type="character" w:styleId="Heading5Char" w:customStyle="1">
    <w:name w:val="Heading 5 Char"/>
    <w:rPr>
      <w:rFonts w:ascii="Calibri" w:hAnsi="Calibri"/>
      <w:b w:val="1"/>
      <w:bCs w:val="1"/>
      <w:i w:val="1"/>
      <w:iCs w:val="1"/>
      <w:color w:val="0d0d0d"/>
      <w:sz w:val="26"/>
      <w:szCs w:val="26"/>
    </w:rPr>
  </w:style>
  <w:style w:type="character" w:styleId="Heading6Char" w:customStyle="1">
    <w:name w:val="Heading 6 Char"/>
    <w:rPr>
      <w:rFonts w:ascii="Calibri" w:hAnsi="Calibri"/>
      <w:b w:val="1"/>
      <w:bCs w:val="1"/>
      <w:color w:val="0d0d0d"/>
      <w:sz w:val="24"/>
      <w:szCs w:val="22"/>
    </w:rPr>
  </w:style>
  <w:style w:type="character" w:styleId="Heading7Char" w:customStyle="1">
    <w:name w:val="Heading 7 Char"/>
    <w:rPr>
      <w:rFonts w:ascii="Calibri" w:hAnsi="Calibri"/>
      <w:color w:val="0d0d0d"/>
      <w:sz w:val="24"/>
      <w:szCs w:val="24"/>
    </w:rPr>
  </w:style>
  <w:style w:type="character" w:styleId="Heading8Char" w:customStyle="1">
    <w:name w:val="Heading 8 Char"/>
    <w:rPr>
      <w:rFonts w:ascii="Calibri" w:hAnsi="Calibri"/>
      <w:i w:val="1"/>
      <w:iCs w:val="1"/>
      <w:color w:val="0d0d0d"/>
      <w:sz w:val="24"/>
      <w:szCs w:val="24"/>
    </w:rPr>
  </w:style>
  <w:style w:type="character" w:styleId="Heading9Char" w:customStyle="1">
    <w:name w:val="Heading 9 Char"/>
    <w:rPr>
      <w:rFonts w:ascii="Cambria" w:hAnsi="Cambria"/>
      <w:color w:val="0d0d0d"/>
      <w:sz w:val="24"/>
      <w:szCs w:val="22"/>
    </w:rPr>
  </w:style>
  <w:style w:type="paragraph" w:styleId="BodyText">
    <w:name w:val="Body Text"/>
    <w:basedOn w:val="Normal"/>
    <w:pPr>
      <w:spacing w:after="120"/>
    </w:pPr>
  </w:style>
  <w:style w:type="character" w:styleId="BodyTextChar" w:customStyle="1">
    <w:name w:val="Body Text Char"/>
    <w:basedOn w:val="DefaultParagraphFont"/>
    <w:rPr>
      <w:color w:val="0d0d0d"/>
      <w:sz w:val="24"/>
      <w:szCs w:val="24"/>
    </w:rPr>
  </w:style>
  <w:style w:type="paragraph" w:styleId="TableHeader" w:customStyle="1">
    <w:name w:val="TableHeader"/>
    <w:pPr>
      <w:suppressAutoHyphens w:val="1"/>
      <w:spacing w:after="60" w:before="60"/>
      <w:ind w:left="57" w:right="57"/>
      <w:jc w:val="center"/>
    </w:pPr>
    <w:rPr>
      <w:b w:val="1"/>
      <w:color w:val="0d0d0d"/>
      <w:sz w:val="24"/>
      <w:szCs w:val="24"/>
    </w:rPr>
  </w:style>
  <w:style w:type="paragraph" w:styleId="BalloonText">
    <w:name w:val="Balloon Text"/>
    <w:basedOn w:val="Normal"/>
    <w:pPr>
      <w:spacing w:after="0" w:line="240" w:lineRule="auto"/>
    </w:pPr>
    <w:rPr>
      <w:rFonts w:ascii="Tahoma" w:cs="Tahoma" w:hAnsi="Tahoma"/>
      <w:sz w:val="16"/>
      <w:szCs w:val="16"/>
    </w:rPr>
  </w:style>
  <w:style w:type="character" w:styleId="BalloonTextChar" w:customStyle="1">
    <w:name w:val="Balloon Text Char"/>
    <w:rPr>
      <w:rFonts w:ascii="Tahoma" w:cs="Tahoma" w:hAnsi="Tahoma"/>
      <w:sz w:val="16"/>
      <w:szCs w:val="16"/>
    </w:rPr>
  </w:style>
  <w:style w:type="paragraph" w:styleId="TableRow" w:customStyle="1">
    <w:name w:val="TableRow"/>
    <w:pPr>
      <w:suppressAutoHyphens w:val="1"/>
      <w:spacing w:after="60" w:before="60"/>
      <w:ind w:left="57" w:right="57"/>
    </w:pPr>
    <w:rPr>
      <w:color w:val="0d0d0d"/>
      <w:sz w:val="24"/>
      <w:szCs w:val="24"/>
    </w:rPr>
  </w:style>
  <w:style w:type="character" w:styleId="TableRowChar" w:customStyle="1">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styleId="HeaderChar" w:customStyle="1">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styleId="FooterChar" w:customStyle="1">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styleId="FootnoteTextChar" w:customStyle="1">
    <w:name w:val="Footnote Text Char"/>
    <w:basedOn w:val="DefaultParagraphFont"/>
  </w:style>
  <w:style w:type="character" w:styleId="FootnoteReference">
    <w:name w:val="footnote reference"/>
    <w:basedOn w:val="DefaultParagraphFont"/>
    <w:rPr>
      <w:position w:val="0"/>
      <w:vertAlign w:val="superscript"/>
    </w:rPr>
  </w:style>
  <w:style w:type="character" w:styleId="RGB" w:customStyle="1">
    <w:name w:val="RGB"/>
    <w:basedOn w:val="DefaultParagraphFont"/>
    <w:rPr>
      <w:b w:val="1"/>
      <w:bCs w:val="1"/>
      <w:sz w:val="20"/>
    </w:rPr>
  </w:style>
  <w:style w:type="paragraph" w:styleId="ColouredBoxHeadline" w:customStyle="1">
    <w:name w:val="Coloured Box Headline"/>
    <w:basedOn w:val="Normal"/>
    <w:pPr>
      <w:spacing w:before="120"/>
    </w:pPr>
    <w:rPr>
      <w:b w:val="1"/>
      <w:bCs w:val="1"/>
      <w:sz w:val="28"/>
      <w:szCs w:val="20"/>
    </w:rPr>
  </w:style>
  <w:style w:type="character" w:styleId="RGBValues" w:customStyle="1">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styleId="CommentTextChar" w:customStyle="1">
    <w:name w:val="Comment Text Char"/>
    <w:basedOn w:val="DefaultParagraphFont"/>
    <w:uiPriority w:val="99"/>
  </w:style>
  <w:style w:type="paragraph" w:styleId="CommentSubject">
    <w:name w:val="annotation subject"/>
    <w:basedOn w:val="CommentText"/>
    <w:next w:val="CommentText"/>
    <w:rPr>
      <w:b w:val="1"/>
      <w:bCs w:val="1"/>
    </w:rPr>
  </w:style>
  <w:style w:type="character" w:styleId="CommentSubjectChar" w:customStyle="1">
    <w:name w:val="Comment Subject Char"/>
    <w:basedOn w:val="CommentTextChar"/>
    <w:rPr>
      <w:b w:val="1"/>
      <w:bCs w:val="1"/>
    </w:rPr>
  </w:style>
  <w:style w:type="paragraph" w:styleId="Centredembed" w:customStyle="1">
    <w:name w:val="Centred embed"/>
    <w:basedOn w:val="Normal"/>
    <w:pPr>
      <w:spacing w:after="0"/>
      <w:jc w:val="center"/>
    </w:pPr>
    <w:rPr>
      <w:szCs w:val="20"/>
    </w:rPr>
  </w:style>
  <w:style w:type="paragraph" w:styleId="Date">
    <w:name w:val="Date"/>
    <w:basedOn w:val="Normal"/>
    <w:next w:val="Normal"/>
    <w:rPr>
      <w:rFonts w:cs="Arial"/>
      <w:b w:val="1"/>
      <w:bCs w:val="1"/>
      <w:color w:val="104f75"/>
      <w:sz w:val="44"/>
      <w:szCs w:val="44"/>
    </w:rPr>
  </w:style>
  <w:style w:type="character" w:styleId="DateChar" w:customStyle="1">
    <w:name w:val="Date Char"/>
    <w:basedOn w:val="DefaultParagraphFont"/>
    <w:rPr>
      <w:rFonts w:cs="Arial"/>
      <w:b w:val="1"/>
      <w:bCs w:val="1"/>
      <w:color w:val="104f75"/>
      <w:sz w:val="44"/>
      <w:szCs w:val="44"/>
    </w:rPr>
  </w:style>
  <w:style w:type="character" w:styleId="SourceChar" w:customStyle="1">
    <w:name w:val="Source Char"/>
    <w:basedOn w:val="DefaultParagraphFont"/>
  </w:style>
  <w:style w:type="paragraph" w:styleId="Source" w:customStyle="1">
    <w:name w:val="Source"/>
    <w:basedOn w:val="Normal"/>
    <w:pPr>
      <w:jc w:val="right"/>
    </w:pPr>
    <w:rPr>
      <w:sz w:val="20"/>
      <w:szCs w:val="20"/>
    </w:rPr>
  </w:style>
  <w:style w:type="paragraph" w:styleId="DfESOutNumbered1" w:customStyle="1">
    <w:name w:val="DfESOutNumbered1"/>
    <w:basedOn w:val="Normal"/>
    <w:pPr>
      <w:numPr>
        <w:numId w:val="3"/>
      </w:numPr>
    </w:pPr>
  </w:style>
  <w:style w:type="character" w:styleId="DfESOutNumbered1Char" w:customStyle="1">
    <w:name w:val="DfESOutNumbered1 Char"/>
    <w:rPr>
      <w:sz w:val="24"/>
      <w:szCs w:val="24"/>
    </w:rPr>
  </w:style>
  <w:style w:type="paragraph" w:styleId="TableRowRight" w:customStyle="1">
    <w:name w:val="TableRowRight"/>
    <w:basedOn w:val="TableRow"/>
    <w:pPr>
      <w:jc w:val="right"/>
    </w:pPr>
    <w:rPr>
      <w:szCs w:val="20"/>
    </w:rPr>
  </w:style>
  <w:style w:type="paragraph" w:styleId="TableRowCentered" w:customStyle="1">
    <w:name w:val="TableRowCentered"/>
    <w:basedOn w:val="TableRow"/>
    <w:pPr>
      <w:jc w:val="center"/>
    </w:pPr>
    <w:rPr>
      <w:szCs w:val="20"/>
    </w:rPr>
  </w:style>
  <w:style w:type="paragraph" w:styleId="SocialMedia" w:customStyle="1">
    <w:name w:val="SocialMedia"/>
    <w:basedOn w:val="Normal"/>
    <w:pPr>
      <w:tabs>
        <w:tab w:val="left" w:pos="4253"/>
        <w:tab w:val="left" w:pos="4820"/>
      </w:tabs>
      <w:spacing w:after="0" w:line="240" w:lineRule="auto"/>
      <w:ind w:firstLine="34"/>
    </w:pPr>
  </w:style>
  <w:style w:type="paragraph" w:styleId="Reference" w:customStyle="1">
    <w:name w:val="Reference"/>
    <w:basedOn w:val="Normal"/>
    <w:pPr>
      <w:tabs>
        <w:tab w:val="left" w:pos="1701"/>
      </w:tabs>
      <w:spacing w:before="240"/>
    </w:pPr>
  </w:style>
  <w:style w:type="character" w:styleId="SocialMediaChar" w:customStyle="1">
    <w:name w:val="SocialMedia Char"/>
    <w:basedOn w:val="DefaultParagraphFont"/>
    <w:rPr>
      <w:sz w:val="24"/>
      <w:szCs w:val="24"/>
    </w:rPr>
  </w:style>
  <w:style w:type="paragraph" w:styleId="Licence" w:customStyle="1">
    <w:name w:val="Licence"/>
    <w:basedOn w:val="Normal"/>
    <w:pPr>
      <w:tabs>
        <w:tab w:val="left" w:pos="1418"/>
      </w:tabs>
      <w:ind w:left="284"/>
      <w:contextualSpacing w:val="1"/>
    </w:pPr>
  </w:style>
  <w:style w:type="character" w:styleId="ReferenceChar" w:customStyle="1">
    <w:name w:val="Reference Char"/>
    <w:basedOn w:val="DefaultParagraphFont"/>
    <w:rPr>
      <w:color w:val="0d0d0d"/>
      <w:sz w:val="24"/>
      <w:szCs w:val="24"/>
    </w:rPr>
  </w:style>
  <w:style w:type="paragraph" w:styleId="LicenceIntro" w:customStyle="1">
    <w:name w:val="LicenceIntro"/>
    <w:basedOn w:val="Licence"/>
    <w:pPr>
      <w:spacing w:after="0"/>
      <w:ind w:left="0"/>
    </w:pPr>
    <w:rPr>
      <w:szCs w:val="20"/>
    </w:rPr>
  </w:style>
  <w:style w:type="character" w:styleId="LicenceChar" w:customStyle="1">
    <w:name w:val="Licence Char"/>
    <w:basedOn w:val="DefaultParagraphFont"/>
    <w:rPr>
      <w:sz w:val="24"/>
      <w:szCs w:val="24"/>
    </w:rPr>
  </w:style>
  <w:style w:type="paragraph" w:styleId="ListBullet2">
    <w:name w:val="List Bullet 2"/>
    <w:basedOn w:val="Normal"/>
    <w:pPr>
      <w:numPr>
        <w:numId w:val="6"/>
      </w:numPr>
      <w:tabs>
        <w:tab w:val="left" w:pos="491"/>
      </w:tabs>
      <w:contextualSpacing w:val="1"/>
    </w:pPr>
  </w:style>
  <w:style w:type="paragraph" w:styleId="Logos" w:customStyle="1">
    <w:name w:val="Logos"/>
    <w:basedOn w:val="Normal"/>
    <w:pPr>
      <w:pageBreakBefore w:val="1"/>
      <w:widowControl w:val="0"/>
    </w:pPr>
  </w:style>
  <w:style w:type="character" w:styleId="LogosChar" w:customStyle="1">
    <w:name w:val="Logos Char"/>
    <w:basedOn w:val="DefaultParagraphFont"/>
    <w:rPr>
      <w:color w:val="0d0d0d"/>
      <w:sz w:val="24"/>
      <w:szCs w:val="24"/>
    </w:rPr>
  </w:style>
  <w:style w:type="paragraph" w:styleId="ListBullet3">
    <w:name w:val="List Bullet 3"/>
    <w:basedOn w:val="Normal"/>
    <w:pPr>
      <w:numPr>
        <w:numId w:val="7"/>
      </w:numPr>
      <w:contextualSpacing w:val="1"/>
    </w:pPr>
  </w:style>
  <w:style w:type="paragraph" w:styleId="DfESOutNumbered" w:customStyle="1">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styleId="DfESOutNumberedChar" w:customStyle="1">
    <w:name w:val="DfESOutNumbered Char"/>
    <w:basedOn w:val="LogosChar"/>
    <w:rPr>
      <w:rFonts w:cs="Arial"/>
      <w:color w:val="0d0d0d"/>
      <w:sz w:val="22"/>
      <w:szCs w:val="24"/>
      <w:lang w:eastAsia="en-US"/>
    </w:rPr>
  </w:style>
  <w:style w:type="paragraph" w:styleId="DeptBullets" w:customStyle="1">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styleId="DeptBulletsChar" w:customStyle="1">
    <w:name w:val="DeptBullets Char"/>
    <w:basedOn w:val="LogosChar"/>
    <w:rPr>
      <w:color w:val="0d0d0d"/>
      <w:sz w:val="24"/>
      <w:szCs w:val="24"/>
      <w:lang w:eastAsia="en-US"/>
    </w:rPr>
  </w:style>
  <w:style w:type="paragraph" w:styleId="TOCHeader" w:customStyle="1">
    <w:name w:val="TOC Header"/>
    <w:pPr>
      <w:pageBreakBefore w:val="1"/>
      <w:suppressAutoHyphens w:val="1"/>
    </w:pPr>
    <w:rPr>
      <w:b w:val="1"/>
      <w:color w:val="104f75"/>
      <w:sz w:val="36"/>
      <w:szCs w:val="24"/>
    </w:rPr>
  </w:style>
  <w:style w:type="character" w:styleId="TOCHeaderChar" w:customStyle="1">
    <w:name w:val="TOC Header Char"/>
    <w:rPr>
      <w:b w:val="1"/>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styleId="BodyTextIndentChar" w:customStyle="1">
    <w:name w:val="Body Text Indent Char"/>
    <w:basedOn w:val="DefaultParagraphFont"/>
    <w:rPr>
      <w:sz w:val="24"/>
      <w:lang w:eastAsia="en-US"/>
    </w:rPr>
  </w:style>
  <w:style w:type="paragraph" w:styleId="DeptOutNumbered" w:customStyle="1">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styleId="Heading" w:customStyle="1">
    <w:name w:val="Heading"/>
    <w:basedOn w:val="Normal"/>
    <w:next w:val="Normal"/>
    <w:pPr>
      <w:keepNext w:val="1"/>
      <w:keepLines w:val="1"/>
      <w:widowControl w:val="0"/>
      <w:overflowPunct w:val="0"/>
      <w:autoSpaceDE w:val="0"/>
      <w:spacing w:before="240" w:line="240" w:lineRule="auto"/>
      <w:ind w:left="-720"/>
      <w:textAlignment w:val="baseline"/>
    </w:pPr>
    <w:rPr>
      <w:b w:val="1"/>
      <w:color w:val="auto"/>
      <w:szCs w:val="20"/>
      <w:lang w:eastAsia="en-US"/>
    </w:rPr>
  </w:style>
  <w:style w:type="paragraph" w:styleId="MinuteTop" w:customStyle="1">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styleId="Numbered" w:customStyle="1">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styleId="PersonalComposeStyle" w:customStyle="1">
    <w:name w:val="Personal Compose Style"/>
    <w:basedOn w:val="DefaultParagraphFont"/>
    <w:rPr>
      <w:rFonts w:ascii="Arial" w:cs="Arial" w:hAnsi="Arial"/>
      <w:color w:val="auto"/>
      <w:sz w:val="20"/>
    </w:rPr>
  </w:style>
  <w:style w:type="character" w:styleId="PersonalReplyStyle" w:customStyle="1">
    <w:name w:val="Personal Reply Style"/>
    <w:basedOn w:val="DefaultParagraphFont"/>
    <w:rPr>
      <w:rFonts w:ascii="Arial" w:cs="Arial" w:hAnsi="Arial"/>
      <w:color w:val="auto"/>
      <w:sz w:val="20"/>
    </w:rPr>
  </w:style>
  <w:style w:type="paragraph" w:styleId="Sub-Heading" w:customStyle="1">
    <w:name w:val="Sub-Heading"/>
    <w:basedOn w:val="Heading"/>
    <w:next w:val="Numbered"/>
    <w:pPr>
      <w:spacing w:before="0"/>
    </w:pPr>
  </w:style>
  <w:style w:type="character" w:styleId="SubtitleChar" w:customStyle="1">
    <w:name w:val="Subtitle Char"/>
    <w:basedOn w:val="DefaultParagraphFont"/>
    <w:rPr>
      <w:i w:val="1"/>
      <w:sz w:val="24"/>
      <w:lang w:eastAsia="en-US"/>
    </w:rPr>
  </w:style>
  <w:style w:type="paragraph" w:styleId="DfESBullets" w:customStyle="1">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color="auto" w:fill="e1dfdd" w:val="clear"/>
    </w:rPr>
  </w:style>
  <w:style w:type="numbering" w:styleId="WWOutlineListStyle" w:customStyle="1">
    <w:name w:val="WW_OutlineListStyle"/>
    <w:basedOn w:val="NoList"/>
    <w:pPr>
      <w:numPr>
        <w:numId w:val="2"/>
      </w:numPr>
    </w:pPr>
  </w:style>
  <w:style w:type="numbering" w:styleId="LFO3" w:customStyle="1">
    <w:name w:val="LFO3"/>
    <w:basedOn w:val="NoList"/>
    <w:pPr>
      <w:numPr>
        <w:numId w:val="3"/>
      </w:numPr>
    </w:pPr>
  </w:style>
  <w:style w:type="numbering" w:styleId="LFO4" w:customStyle="1">
    <w:name w:val="LFO4"/>
    <w:basedOn w:val="NoList"/>
    <w:pPr>
      <w:numPr>
        <w:numId w:val="4"/>
      </w:numPr>
    </w:pPr>
  </w:style>
  <w:style w:type="numbering" w:styleId="LFO6" w:customStyle="1">
    <w:name w:val="LFO6"/>
    <w:basedOn w:val="NoList"/>
    <w:pPr>
      <w:numPr>
        <w:numId w:val="5"/>
      </w:numPr>
    </w:pPr>
  </w:style>
  <w:style w:type="numbering" w:styleId="LFO9" w:customStyle="1">
    <w:name w:val="LFO9"/>
    <w:basedOn w:val="NoList"/>
    <w:pPr>
      <w:numPr>
        <w:numId w:val="6"/>
      </w:numPr>
    </w:pPr>
  </w:style>
  <w:style w:type="numbering" w:styleId="LFO10" w:customStyle="1">
    <w:name w:val="LFO10"/>
    <w:basedOn w:val="NoList"/>
    <w:pPr>
      <w:numPr>
        <w:numId w:val="7"/>
      </w:numPr>
    </w:pPr>
  </w:style>
  <w:style w:type="numbering" w:styleId="LFO25" w:customStyle="1">
    <w:name w:val="LFO25"/>
    <w:basedOn w:val="NoList"/>
    <w:pPr>
      <w:numPr>
        <w:numId w:val="8"/>
      </w:numPr>
    </w:pPr>
  </w:style>
  <w:style w:type="numbering" w:styleId="LFO28" w:customStyle="1">
    <w:name w:val="LFO28"/>
    <w:basedOn w:val="NoList"/>
    <w:pPr>
      <w:numPr>
        <w:numId w:val="9"/>
      </w:numPr>
    </w:pPr>
  </w:style>
  <w:style w:type="numbering" w:styleId="LFO30" w:customStyle="1">
    <w:name w:val="LFO30"/>
    <w:basedOn w:val="NoList"/>
    <w:pPr>
      <w:numPr>
        <w:numId w:val="10"/>
      </w:numPr>
    </w:pPr>
  </w:style>
  <w:style w:type="numbering" w:styleId="LFO34" w:customStyle="1">
    <w:name w:val="LFO34"/>
    <w:basedOn w:val="NoList"/>
    <w:pPr>
      <w:numPr>
        <w:numId w:val="11"/>
      </w:numPr>
    </w:pPr>
  </w:style>
  <w:style w:type="numbering" w:styleId="LFO36" w:customStyle="1">
    <w:name w:val="LFO36"/>
    <w:basedOn w:val="NoList"/>
    <w:pPr>
      <w:numPr>
        <w:numId w:val="12"/>
      </w:numPr>
    </w:pPr>
  </w:style>
  <w:style w:type="paragraph" w:styleId="Revision">
    <w:name w:val="Revision"/>
    <w:hidden w:val="1"/>
    <w:uiPriority w:val="99"/>
    <w:semiHidden w:val="1"/>
    <w:rsid w:val="00115538"/>
    <w:pPr>
      <w:autoSpaceDN w:val="1"/>
    </w:pPr>
    <w:rPr>
      <w:color w:val="0d0d0d"/>
      <w:sz w:val="24"/>
      <w:szCs w:val="24"/>
    </w:rPr>
  </w:style>
  <w:style w:type="character" w:styleId="Mention">
    <w:name w:val="Mention"/>
    <w:basedOn w:val="DefaultParagraphFont"/>
    <w:uiPriority w:val="99"/>
    <w:unhideWhenUsed w:val="1"/>
    <w:rsid w:val="00E726A6"/>
    <w:rPr>
      <w:color w:val="2b579a"/>
      <w:shd w:color="auto" w:fill="e1dfdd" w:val="clear"/>
    </w:rPr>
  </w:style>
  <w:style w:type="table" w:styleId="TableGrid">
    <w:name w:val="Table Grid"/>
    <w:basedOn w:val="TableNormal"/>
    <w:uiPriority w:val="39"/>
    <w:rsid w:val="009539E3"/>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ListParagraphChar" w:customStyle="1">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val="1"/>
    <w:rsid w:val="00721B51"/>
    <w:rPr>
      <w:color w:val="0d0d0d"/>
      <w:sz w:val="24"/>
      <w:szCs w:val="24"/>
    </w:rPr>
  </w:style>
  <w:style w:type="character" w:styleId="ui-provider" w:customStyle="1">
    <w:name w:val="ui-provider"/>
    <w:basedOn w:val="DefaultParagraphFont"/>
    <w:rsid w:val="00287FA8"/>
  </w:style>
  <w:style w:type="paragraph" w:styleId="NoSpacing">
    <w:name w:val="No Spacing"/>
    <w:uiPriority w:val="1"/>
    <w:qFormat w:val="1"/>
    <w:rsid w:val="00530419"/>
    <w:pPr>
      <w:suppressAutoHyphens w:val="1"/>
    </w:pPr>
    <w:rPr>
      <w:color w:val="0d0d0d"/>
      <w:sz w:val="24"/>
      <w:szCs w:val="24"/>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widowControl w:val="0"/>
      <w:spacing w:after="60" w:line="240" w:lineRule="auto"/>
      <w:jc w:val="center"/>
    </w:pPr>
    <w:rPr>
      <w:i w:val="1"/>
      <w:iCs w:val="1"/>
      <w:color w:val="000000"/>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OaHKh9yxeNCg4HLKapwfcWEWzQ==">CgMxLjAyDmguNDB2YWoyNDJkcXRsMg5oLjQ0ODBmNmZlZDc3cDIOaC5yYXloMnk1NXMyZGgyDWgudW14Nmg4eThldGUyDmguZ3MwN3huaGwybW4wOAByITFSS3pOaHBybDJ5cjdFYnpSSUNBS1BlMWN2MTZtY01ZQg==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2026-01-08T14:35:00Z</dcterms:created>
  <dc:creator>Department for Education</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